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33F5F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right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>PREDLOG</w:t>
      </w:r>
    </w:p>
    <w:p w14:paraId="0B72FC5A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</w:p>
    <w:p w14:paraId="5547BE31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</w:p>
    <w:p w14:paraId="3C58522A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>Na podlagi določb 23. člena Zakona o zdravstvenem varstvu in zdravstvenem zavarovanju (Uradni list RS, št. 72/2006-UPB3, 114/2006-ZUTPG, 91/2007, 76/2008, 118/2008 Skl. US: U-I-163/08-12) in 13. člena Statuta Zavoda za zdravstveno zavarovanje Slovenije (Uradni list RS, št. 87/01 in 1/02 – popr.) je Skupščina Zavoda za zdravstveno zavarovanje Slovenije na svoji 3. seji, dne 15. 2. 2010 sprejela</w:t>
      </w:r>
    </w:p>
    <w:p w14:paraId="2354F278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rPr>
          <w:rFonts w:ascii="Helv" w:hAnsi="Helv" w:cs="Helv"/>
          <w:color w:val="000000"/>
          <w:kern w:val="0"/>
          <w:sz w:val="20"/>
          <w:szCs w:val="20"/>
        </w:rPr>
      </w:pPr>
    </w:p>
    <w:p w14:paraId="0CE6BDF0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 xml:space="preserve">S K L E P </w:t>
      </w: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br/>
        <w:t>o spremembah Sklepa o določitvi odstotkov vrednosti zdravstvenih storitev, ki se zagotavljajo v obveznem zdravstvenem zavarovanju</w:t>
      </w:r>
    </w:p>
    <w:p w14:paraId="0B115996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</w:p>
    <w:p w14:paraId="33A68837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</w:p>
    <w:p w14:paraId="16C46CB7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>1</w:t>
      </w:r>
    </w:p>
    <w:p w14:paraId="088B6DF1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</w:p>
    <w:p w14:paraId="680578A3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 xml:space="preserve">V Sklepu o določitvi odstotkov vrednosti zdravstvenih storitev, ki se zagotavljajo v obveznem zdravstvenem zavarovanju (Uradni list RS, št. 73/95, 2/96 – popr., 51/09 in 102/09) se </w:t>
      </w:r>
      <w:proofErr w:type="gramStart"/>
      <w:r>
        <w:rPr>
          <w:rFonts w:ascii="Helv" w:hAnsi="Helv" w:cs="Helv"/>
          <w:color w:val="000000"/>
          <w:kern w:val="0"/>
          <w:sz w:val="20"/>
          <w:szCs w:val="20"/>
        </w:rPr>
        <w:t xml:space="preserve">drugi  </w:t>
      </w:r>
      <w:proofErr w:type="gramEnd"/>
      <w:r>
        <w:rPr>
          <w:rFonts w:ascii="Helv" w:hAnsi="Helv" w:cs="Helv"/>
          <w:color w:val="000000"/>
          <w:kern w:val="0"/>
          <w:sz w:val="20"/>
          <w:szCs w:val="20"/>
        </w:rPr>
        <w:t xml:space="preserve">odstavek 2. točke spremeni tako, da se glasi: </w:t>
      </w:r>
    </w:p>
    <w:p w14:paraId="34F1E6FF" w14:textId="77777777" w:rsidR="00B1263B" w:rsidRDefault="00B1263B" w:rsidP="00B1263B">
      <w:pPr>
        <w:autoSpaceDE w:val="0"/>
        <w:autoSpaceDN w:val="0"/>
        <w:adjustRightInd w:val="0"/>
        <w:spacing w:before="120" w:after="0" w:line="240" w:lineRule="auto"/>
        <w:ind w:left="90"/>
        <w:jc w:val="both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>»Med najzahtevnejše storitve iz prvega odstavka te točke štejejo storitve, ki so opredeljene v prilogi 1 tega sklepa.«</w:t>
      </w:r>
    </w:p>
    <w:p w14:paraId="3F37A00D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color w:val="000000"/>
          <w:kern w:val="0"/>
          <w:sz w:val="20"/>
          <w:szCs w:val="20"/>
        </w:rPr>
      </w:pPr>
    </w:p>
    <w:p w14:paraId="5403DD47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>2</w:t>
      </w:r>
    </w:p>
    <w:p w14:paraId="334CBC5E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</w:p>
    <w:p w14:paraId="21E3383E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 xml:space="preserve">6. točka se spremeni tako, da se glasi: </w:t>
      </w:r>
    </w:p>
    <w:p w14:paraId="24F1710D" w14:textId="77777777" w:rsidR="00B1263B" w:rsidRDefault="00B1263B" w:rsidP="00B1263B">
      <w:pPr>
        <w:autoSpaceDE w:val="0"/>
        <w:autoSpaceDN w:val="0"/>
        <w:adjustRightInd w:val="0"/>
        <w:spacing w:before="120" w:after="0" w:line="240" w:lineRule="auto"/>
        <w:ind w:left="90"/>
        <w:jc w:val="both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 xml:space="preserve">»Zdravstvene storitve zdraviliškega zdravljenja in nemedicinska oskrba (hotelski del </w:t>
      </w:r>
      <w:proofErr w:type="gramStart"/>
      <w:r>
        <w:rPr>
          <w:rFonts w:ascii="Helv" w:hAnsi="Helv" w:cs="Helv"/>
          <w:color w:val="000000"/>
          <w:kern w:val="0"/>
          <w:sz w:val="20"/>
          <w:szCs w:val="20"/>
        </w:rPr>
        <w:t>bolniško-oskrbnega</w:t>
      </w:r>
      <w:proofErr w:type="gramEnd"/>
      <w:r>
        <w:rPr>
          <w:rFonts w:ascii="Helv" w:hAnsi="Helv" w:cs="Helv"/>
          <w:color w:val="000000"/>
          <w:kern w:val="0"/>
          <w:sz w:val="20"/>
          <w:szCs w:val="20"/>
        </w:rPr>
        <w:t xml:space="preserve"> dne) pri zdraviliškem zdravljenju, ki ne predstavlja nadaljevanja bolnišničnega zdravljenja ter prevozi z reševalnim vozilom, ki niso nujni (5. točka prvega odstavka 23. člena zakona), so z obveznim zavarovanjem zagotovljeni v višini 10 % njihove vrednosti.« </w:t>
      </w:r>
    </w:p>
    <w:p w14:paraId="5D8AC0FC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color w:val="000000"/>
          <w:kern w:val="0"/>
          <w:sz w:val="20"/>
          <w:szCs w:val="20"/>
        </w:rPr>
      </w:pPr>
    </w:p>
    <w:p w14:paraId="2F1A6568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>3</w:t>
      </w:r>
    </w:p>
    <w:p w14:paraId="22B102CD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</w:p>
    <w:p w14:paraId="7BC538E7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>V 7. točki se v prvem stavku delež »</w:t>
      </w:r>
      <w:proofErr w:type="gramStart"/>
      <w:r>
        <w:rPr>
          <w:rFonts w:ascii="Helv" w:hAnsi="Helv" w:cs="Helv"/>
          <w:color w:val="000000"/>
          <w:kern w:val="0"/>
          <w:sz w:val="20"/>
          <w:szCs w:val="20"/>
        </w:rPr>
        <w:t>25</w:t>
      </w:r>
      <w:proofErr w:type="gramEnd"/>
      <w:r>
        <w:rPr>
          <w:rFonts w:ascii="Helv" w:hAnsi="Helv" w:cs="Helv"/>
          <w:color w:val="000000"/>
          <w:kern w:val="0"/>
          <w:sz w:val="20"/>
          <w:szCs w:val="20"/>
        </w:rPr>
        <w:t>%« nadomesti z deležem »10%«. Drugi stavek pa se spremeni tako, da se glasi:</w:t>
      </w:r>
    </w:p>
    <w:p w14:paraId="5824EC3B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Helv" w:hAnsi="Helv" w:cs="Helv"/>
          <w:color w:val="000000"/>
          <w:kern w:val="0"/>
          <w:sz w:val="20"/>
          <w:szCs w:val="20"/>
        </w:rPr>
      </w:pPr>
    </w:p>
    <w:p w14:paraId="1B876615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>»Obvezno zdravstveno zavarovanje zagotavlja zavarovanim osebam zdravila in živila za posebne zdravstvene namene, predpisana na recepte iz vmesne liste in očesne pripomočke za odrasle v višini 10 % njihove vrednosti</w:t>
      </w:r>
      <w:proofErr w:type="gramStart"/>
      <w:r>
        <w:rPr>
          <w:rFonts w:ascii="Helv" w:hAnsi="Helv" w:cs="Helv"/>
          <w:color w:val="000000"/>
          <w:kern w:val="0"/>
          <w:sz w:val="20"/>
          <w:szCs w:val="20"/>
        </w:rPr>
        <w:t xml:space="preserve"> .</w:t>
      </w:r>
      <w:proofErr w:type="gramEnd"/>
      <w:r>
        <w:rPr>
          <w:rFonts w:ascii="Helv" w:hAnsi="Helv" w:cs="Helv"/>
          <w:color w:val="000000"/>
          <w:kern w:val="0"/>
          <w:sz w:val="20"/>
          <w:szCs w:val="20"/>
        </w:rPr>
        <w:t xml:space="preserve">« </w:t>
      </w:r>
    </w:p>
    <w:p w14:paraId="3463F485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color w:val="000000"/>
          <w:kern w:val="0"/>
          <w:sz w:val="20"/>
          <w:szCs w:val="20"/>
        </w:rPr>
      </w:pPr>
    </w:p>
    <w:p w14:paraId="79A85154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>4</w:t>
      </w:r>
    </w:p>
    <w:p w14:paraId="4944FA80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</w:p>
    <w:p w14:paraId="764AEB6B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>Odstotki vrednosti zdravstvenih storitev iz 2. in 3. točke tega sklepa veljajo do 31. 12. 2010.</w:t>
      </w:r>
    </w:p>
    <w:p w14:paraId="33366FCB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Helv" w:hAnsi="Helv" w:cs="Helv"/>
          <w:color w:val="000000"/>
          <w:kern w:val="0"/>
          <w:sz w:val="20"/>
          <w:szCs w:val="20"/>
        </w:rPr>
      </w:pPr>
    </w:p>
    <w:p w14:paraId="4A6B8567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Helv" w:hAnsi="Helv" w:cs="Helv"/>
          <w:color w:val="000000"/>
          <w:kern w:val="0"/>
          <w:sz w:val="20"/>
          <w:szCs w:val="20"/>
        </w:rPr>
      </w:pPr>
    </w:p>
    <w:p w14:paraId="19E9A546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>5</w:t>
      </w:r>
    </w:p>
    <w:p w14:paraId="337634A3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</w:p>
    <w:p w14:paraId="58CE329F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>Z dnem uveljavitve tega sklepa preneha veljati Sklep o spremembah Sklepa o določitvi odstotkov vrednosti zdravstvenih storitev, ki se zagotavljajo v obveznem zdravstvenem zavarovanju (Uradni list RS, št. 51/2009).</w:t>
      </w:r>
    </w:p>
    <w:p w14:paraId="7978DCB1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Helv" w:hAnsi="Helv" w:cs="Helv"/>
          <w:color w:val="000000"/>
          <w:kern w:val="0"/>
          <w:sz w:val="20"/>
          <w:szCs w:val="20"/>
        </w:rPr>
      </w:pPr>
    </w:p>
    <w:p w14:paraId="2CB777D3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  <w:r>
        <w:rPr>
          <w:rFonts w:ascii="Helv" w:hAnsi="Helv" w:cs="Helv"/>
          <w:b/>
          <w:bCs/>
          <w:color w:val="000000"/>
          <w:kern w:val="0"/>
          <w:sz w:val="20"/>
          <w:szCs w:val="20"/>
        </w:rPr>
        <w:t>6</w:t>
      </w:r>
    </w:p>
    <w:p w14:paraId="157CA781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center"/>
        <w:rPr>
          <w:rFonts w:ascii="Helv" w:hAnsi="Helv" w:cs="Helv"/>
          <w:b/>
          <w:bCs/>
          <w:color w:val="000000"/>
          <w:kern w:val="0"/>
          <w:sz w:val="20"/>
          <w:szCs w:val="20"/>
        </w:rPr>
      </w:pPr>
    </w:p>
    <w:p w14:paraId="6A32CF23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 xml:space="preserve">Ta sklep se objavi v Uradnem listu Republike Slovenije, ko da nanj soglasje Vlada Republike Slovenije. Sklep začne veljati petnajsti dan po objavi v Uradnem listu Republike Slovenije. </w:t>
      </w:r>
    </w:p>
    <w:p w14:paraId="3A41524C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rPr>
          <w:rFonts w:ascii="Helv" w:hAnsi="Helv" w:cs="Helv"/>
          <w:color w:val="000000"/>
          <w:kern w:val="0"/>
          <w:sz w:val="20"/>
          <w:szCs w:val="20"/>
        </w:rPr>
      </w:pPr>
    </w:p>
    <w:p w14:paraId="76FF0C9E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>Št.</w:t>
      </w:r>
    </w:p>
    <w:p w14:paraId="3193EF87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 xml:space="preserve">Ljubljana, dne </w:t>
      </w:r>
    </w:p>
    <w:p w14:paraId="1358D7B3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rPr>
          <w:rFonts w:ascii="Helv" w:hAnsi="Helv" w:cs="Helv"/>
          <w:color w:val="000000"/>
          <w:kern w:val="0"/>
          <w:sz w:val="20"/>
          <w:szCs w:val="2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 xml:space="preserve">EVA </w:t>
      </w:r>
    </w:p>
    <w:p w14:paraId="5257B6B5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color w:val="000000"/>
          <w:kern w:val="0"/>
        </w:rPr>
      </w:pPr>
      <w:r>
        <w:rPr>
          <w:rFonts w:ascii="Helv" w:hAnsi="Helv" w:cs="Helv"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color w:val="000000"/>
          <w:kern w:val="0"/>
          <w:sz w:val="20"/>
          <w:szCs w:val="20"/>
        </w:rPr>
        <w:tab/>
      </w:r>
      <w:r>
        <w:rPr>
          <w:rFonts w:ascii="Helv" w:hAnsi="Helv" w:cs="Helv"/>
          <w:color w:val="000000"/>
          <w:kern w:val="0"/>
          <w:sz w:val="20"/>
          <w:szCs w:val="2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  <w:t xml:space="preserve"> Predsednik Skupščine </w:t>
      </w:r>
    </w:p>
    <w:p w14:paraId="0A091EF1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color w:val="000000"/>
          <w:kern w:val="0"/>
        </w:rPr>
      </w:pPr>
      <w:r>
        <w:rPr>
          <w:rFonts w:ascii="Arial" w:hAnsi="Arial" w:cs="Arial"/>
          <w:color w:val="000000"/>
          <w:kern w:val="0"/>
        </w:rPr>
        <w:t xml:space="preserve">    </w:t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</w:r>
      <w:r>
        <w:rPr>
          <w:rFonts w:ascii="Arial" w:hAnsi="Arial" w:cs="Arial"/>
          <w:color w:val="000000"/>
          <w:kern w:val="0"/>
        </w:rPr>
        <w:tab/>
        <w:t xml:space="preserve"> Vladimir Tkalec </w:t>
      </w:r>
    </w:p>
    <w:p w14:paraId="1AF4A738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color w:val="000000"/>
          <w:kern w:val="0"/>
        </w:rPr>
      </w:pPr>
    </w:p>
    <w:p w14:paraId="36BFD481" w14:textId="77777777" w:rsidR="00B1263B" w:rsidRDefault="00B1263B" w:rsidP="00B1263B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color w:val="000000"/>
          <w:kern w:val="0"/>
        </w:rPr>
      </w:pPr>
    </w:p>
    <w:p w14:paraId="02CDC1D6" w14:textId="5FD19BB4" w:rsidR="002A08CA" w:rsidRDefault="00B1263B" w:rsidP="00B1263B">
      <w:r>
        <w:rPr>
          <w:rFonts w:ascii="Arial" w:hAnsi="Arial" w:cs="Arial"/>
          <w:noProof/>
          <w:color w:val="000000"/>
          <w:kern w:val="0"/>
        </w:rPr>
        <w:drawing>
          <wp:inline distT="0" distB="0" distL="0" distR="0" wp14:anchorId="7B8CDD50" wp14:editId="493DB83B">
            <wp:extent cx="1781175" cy="44513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3B"/>
    <w:rsid w:val="002A08CA"/>
    <w:rsid w:val="00B1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CE77"/>
  <w15:chartTrackingRefBased/>
  <w15:docId w15:val="{BDA9F2D8-2CB6-499F-95EA-EF6271F3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Medvešek</dc:creator>
  <cp:keywords/>
  <dc:description/>
  <cp:lastModifiedBy>Jerneja Medvešek</cp:lastModifiedBy>
  <cp:revision>1</cp:revision>
  <dcterms:created xsi:type="dcterms:W3CDTF">2024-01-31T12:13:00Z</dcterms:created>
  <dcterms:modified xsi:type="dcterms:W3CDTF">2024-01-31T12:14:00Z</dcterms:modified>
</cp:coreProperties>
</file>