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E13" w14:textId="77777777" w:rsidR="00821574" w:rsidRPr="00A77682" w:rsidRDefault="00821574" w:rsidP="00821574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60F929AF" w14:textId="7E603D8C" w:rsidR="00821574" w:rsidRPr="007B58AE" w:rsidRDefault="00821574" w:rsidP="00821574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7B58AE">
        <w:rPr>
          <w:rFonts w:ascii="Calibri" w:eastAsia="Calibri" w:hAnsi="Calibri" w:cs="Times New Roman"/>
          <w:lang w:val="it-IT"/>
        </w:rPr>
        <w:t>Številka: 0072-3/2023-DI/</w:t>
      </w:r>
      <w:r w:rsidR="00B37D4E">
        <w:rPr>
          <w:rFonts w:ascii="Calibri" w:eastAsia="Calibri" w:hAnsi="Calibri" w:cs="Times New Roman"/>
          <w:lang w:val="it-IT"/>
        </w:rPr>
        <w:t>11</w:t>
      </w:r>
    </w:p>
    <w:p w14:paraId="51C113EA" w14:textId="6B239199" w:rsidR="00821574" w:rsidRPr="007B58AE" w:rsidRDefault="00821574" w:rsidP="00821574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7B58AE">
        <w:rPr>
          <w:rFonts w:ascii="Calibri" w:eastAsia="Calibri" w:hAnsi="Calibri" w:cs="Times New Roman"/>
          <w:lang w:val="it-IT"/>
        </w:rPr>
        <w:t xml:space="preserve">Datum: </w:t>
      </w:r>
      <w:r w:rsidR="007E5AFA">
        <w:rPr>
          <w:rFonts w:ascii="Calibri" w:eastAsia="Calibri" w:hAnsi="Calibri" w:cs="Times New Roman"/>
          <w:lang w:val="it-IT"/>
        </w:rPr>
        <w:t>22</w:t>
      </w:r>
      <w:r w:rsidR="00CD6C3D" w:rsidRPr="00B42219">
        <w:rPr>
          <w:rFonts w:ascii="Calibri" w:eastAsia="Calibri" w:hAnsi="Calibri" w:cs="Times New Roman"/>
          <w:lang w:val="it-IT"/>
        </w:rPr>
        <w:t>.</w:t>
      </w:r>
      <w:r w:rsidRPr="007B58AE">
        <w:rPr>
          <w:rFonts w:ascii="Calibri" w:eastAsia="Calibri" w:hAnsi="Calibri" w:cs="Times New Roman"/>
          <w:lang w:val="it-IT"/>
        </w:rPr>
        <w:t xml:space="preserve"> </w:t>
      </w:r>
      <w:r w:rsidR="00FF0A09">
        <w:rPr>
          <w:rFonts w:ascii="Calibri" w:eastAsia="Calibri" w:hAnsi="Calibri" w:cs="Times New Roman"/>
          <w:lang w:val="it-IT"/>
        </w:rPr>
        <w:t>5</w:t>
      </w:r>
      <w:r w:rsidRPr="007B58AE">
        <w:rPr>
          <w:rFonts w:ascii="Calibri" w:eastAsia="Calibri" w:hAnsi="Calibri" w:cs="Times New Roman"/>
          <w:lang w:val="it-IT"/>
        </w:rPr>
        <w:t>. 2023</w:t>
      </w:r>
    </w:p>
    <w:p w14:paraId="7725D3B8" w14:textId="77777777" w:rsidR="00821574" w:rsidRPr="007B58AE" w:rsidRDefault="00821574" w:rsidP="00821574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2AB5AC08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7B58AE">
        <w:rPr>
          <w:rFonts w:ascii="Calibri" w:eastAsia="Calibri" w:hAnsi="Calibri" w:cs="Times New Roman"/>
          <w:b/>
        </w:rPr>
        <w:t>Izvajalcem:</w:t>
      </w:r>
    </w:p>
    <w:p w14:paraId="0A68EA59" w14:textId="75F30A02" w:rsidR="005F174F" w:rsidRDefault="005F174F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5F174F">
        <w:rPr>
          <w:rFonts w:ascii="Calibri" w:eastAsia="Times New Roman" w:hAnsi="Calibri" w:cs="Arial"/>
          <w:b/>
          <w:bCs/>
          <w:iCs/>
          <w:lang w:eastAsia="sl-SI"/>
        </w:rPr>
        <w:t>akutnih bolnišničnih obravnav v sistemu SPP</w:t>
      </w:r>
    </w:p>
    <w:p w14:paraId="36793ECF" w14:textId="0EA927CF" w:rsidR="003C48E0" w:rsidRPr="00B42219" w:rsidRDefault="003C48E0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bolnišnicam</w:t>
      </w:r>
    </w:p>
    <w:p w14:paraId="02594CBA" w14:textId="77777777" w:rsidR="00BB6FE3" w:rsidRPr="00BB6FE3" w:rsidRDefault="00BB6FE3" w:rsidP="00BB6FE3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B6FE3">
        <w:rPr>
          <w:rFonts w:ascii="Calibri" w:eastAsia="Times New Roman" w:hAnsi="Calibri" w:cs="Arial"/>
          <w:b/>
          <w:bCs/>
          <w:iCs/>
          <w:lang w:eastAsia="sl-SI"/>
        </w:rPr>
        <w:t>razvojnim ambulantam z vključenim centrom za zgodnjo obravnavo otrok, izvajalcem logopedije in medicinske oskrbe v socialnovarstvenih zavodih, dispanzerjem za mentalno zdravje ter centrom za duševno zdravje otrok in mladostnikov</w:t>
      </w:r>
    </w:p>
    <w:p w14:paraId="44BBBF40" w14:textId="016C5A66" w:rsidR="00BB6FE3" w:rsidRPr="00B42219" w:rsidRDefault="00BB6FE3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ambulantam za neopredeljene zavarovane osebe</w:t>
      </w:r>
    </w:p>
    <w:p w14:paraId="613ADC98" w14:textId="01F14E0D" w:rsidR="00821574" w:rsidRPr="00B42219" w:rsidRDefault="00A85614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di</w:t>
      </w:r>
      <w:r w:rsidR="002060E3" w:rsidRPr="00B42219">
        <w:rPr>
          <w:rFonts w:ascii="Calibri" w:eastAsia="Times New Roman" w:hAnsi="Calibri" w:cs="Arial"/>
          <w:b/>
          <w:bCs/>
          <w:iCs/>
          <w:lang w:eastAsia="sl-SI"/>
        </w:rPr>
        <w:t>spanzerjem za ženske</w:t>
      </w:r>
    </w:p>
    <w:p w14:paraId="79289871" w14:textId="6E453448" w:rsidR="00BB6FE3" w:rsidRDefault="00D712F6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l</w:t>
      </w:r>
      <w:r w:rsidR="00BB6FE3" w:rsidRPr="00B42219">
        <w:rPr>
          <w:rFonts w:ascii="Calibri" w:eastAsia="Times New Roman" w:hAnsi="Calibri" w:cs="Arial"/>
          <w:b/>
          <w:bCs/>
          <w:iCs/>
          <w:lang w:eastAsia="sl-SI"/>
        </w:rPr>
        <w:t>ekarnam na primarni ravni</w:t>
      </w:r>
    </w:p>
    <w:p w14:paraId="1A9F1CAA" w14:textId="77777777" w:rsidR="00B42219" w:rsidRPr="00B42219" w:rsidRDefault="00B42219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Železniškemu zdravstvenemu domu Ljubljana</w:t>
      </w:r>
    </w:p>
    <w:p w14:paraId="214BEF50" w14:textId="651B5470" w:rsidR="00BB6FE3" w:rsidRPr="00B42219" w:rsidRDefault="00B42219" w:rsidP="00B4221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sl-SI"/>
        </w:rPr>
      </w:pPr>
      <w:r w:rsidRPr="00B42219">
        <w:rPr>
          <w:rFonts w:ascii="Calibri" w:eastAsia="Times New Roman" w:hAnsi="Calibri" w:cs="Arial"/>
          <w:b/>
          <w:bCs/>
          <w:iCs/>
          <w:lang w:eastAsia="sl-SI"/>
        </w:rPr>
        <w:t>Zdravstvenemu domu za študente univerze v Ljubljani</w:t>
      </w:r>
    </w:p>
    <w:p w14:paraId="1092F324" w14:textId="77777777" w:rsidR="001129B8" w:rsidRPr="002060E3" w:rsidRDefault="001129B8" w:rsidP="00F22DAC">
      <w:pPr>
        <w:pStyle w:val="Odstavekseznama"/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A2D91C8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13E6D70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2F93BFA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B58AE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6E7EBAF0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0ED67038" w14:textId="33365BFE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7B58AE">
        <w:rPr>
          <w:rFonts w:ascii="Calibri" w:eastAsia="Calibri" w:hAnsi="Calibri" w:cs="Times New Roman"/>
          <w:b/>
        </w:rPr>
        <w:t xml:space="preserve">Okrožnica ZAE </w:t>
      </w:r>
      <w:r w:rsidR="00B37D4E">
        <w:rPr>
          <w:rFonts w:ascii="Calibri" w:eastAsia="Calibri" w:hAnsi="Calibri" w:cs="Times New Roman"/>
          <w:b/>
        </w:rPr>
        <w:t>9</w:t>
      </w:r>
      <w:r w:rsidRPr="007B58AE">
        <w:rPr>
          <w:rFonts w:ascii="Calibri" w:eastAsia="Calibri" w:hAnsi="Calibri" w:cs="Times New Roman"/>
          <w:b/>
        </w:rPr>
        <w:t>/23: Dopolnitve šifrantov za obračun zdravstvenih storitev</w:t>
      </w:r>
    </w:p>
    <w:p w14:paraId="539BBE87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18E92500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7B58AE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33D3051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1D735990" w14:textId="4952FCA0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7B58AE">
        <w:rPr>
          <w:rFonts w:ascii="Calibri" w:eastAsia="Calibri" w:hAnsi="Calibri" w:cs="Times New Roman"/>
          <w:bCs/>
        </w:rPr>
        <w:t>Podlaga za dopolnitve in spremembe šifrantov za obračun zdravstvenih storitev</w:t>
      </w:r>
      <w:r w:rsidR="003233A8">
        <w:rPr>
          <w:rFonts w:ascii="Calibri" w:eastAsia="Calibri" w:hAnsi="Calibri" w:cs="Times New Roman"/>
          <w:bCs/>
        </w:rPr>
        <w:t xml:space="preserve"> so sprejeti Sklep o</w:t>
      </w:r>
      <w:r w:rsidR="008853A4">
        <w:rPr>
          <w:rFonts w:ascii="Calibri" w:eastAsia="Calibri" w:hAnsi="Calibri" w:cs="Times New Roman"/>
          <w:bCs/>
        </w:rPr>
        <w:t xml:space="preserve"> spremembah in dopolnitvah Sklepa o</w:t>
      </w:r>
      <w:r w:rsidR="003233A8">
        <w:rPr>
          <w:rFonts w:ascii="Calibri" w:eastAsia="Calibri" w:hAnsi="Calibri" w:cs="Times New Roman"/>
          <w:bCs/>
        </w:rPr>
        <w:t xml:space="preserve"> </w:t>
      </w:r>
      <w:r w:rsidR="00DF5C0D">
        <w:rPr>
          <w:rFonts w:ascii="Calibri" w:eastAsia="Calibri" w:hAnsi="Calibri" w:cs="Times New Roman"/>
          <w:bCs/>
        </w:rPr>
        <w:t>načrtovanju, beleženju in obračunavanju zdravstvenih storitev</w:t>
      </w:r>
      <w:r w:rsidR="00CF6ADB">
        <w:rPr>
          <w:rFonts w:ascii="Calibri" w:eastAsia="Calibri" w:hAnsi="Calibri" w:cs="Times New Roman"/>
          <w:bCs/>
        </w:rPr>
        <w:t xml:space="preserve"> (v nadaljevanju Sklep o načrtovanju zdravstvenih storitev)</w:t>
      </w:r>
      <w:r w:rsidR="008853A4">
        <w:rPr>
          <w:rFonts w:ascii="Calibri" w:eastAsia="Calibri" w:hAnsi="Calibri" w:cs="Times New Roman"/>
          <w:bCs/>
        </w:rPr>
        <w:t xml:space="preserve">, </w:t>
      </w:r>
      <w:r w:rsidR="008853A4" w:rsidRPr="001E5DFE">
        <w:rPr>
          <w:rFonts w:ascii="Calibri" w:eastAsia="Calibri" w:hAnsi="Calibri" w:cs="Times New Roman"/>
          <w:bCs/>
        </w:rPr>
        <w:t xml:space="preserve">ki </w:t>
      </w:r>
      <w:r w:rsidR="008853A4">
        <w:rPr>
          <w:rFonts w:ascii="Calibri" w:eastAsia="Calibri" w:hAnsi="Calibri" w:cs="Times New Roman"/>
          <w:bCs/>
        </w:rPr>
        <w:t>ga</w:t>
      </w:r>
      <w:r w:rsidR="008853A4" w:rsidRPr="001E5DFE">
        <w:rPr>
          <w:rFonts w:ascii="Calibri" w:eastAsia="Calibri" w:hAnsi="Calibri" w:cs="Times New Roman"/>
          <w:bCs/>
        </w:rPr>
        <w:t xml:space="preserve"> je sprejel Upravni odbor Zavoda </w:t>
      </w:r>
      <w:r w:rsidR="008853A4">
        <w:rPr>
          <w:rFonts w:ascii="Calibri" w:eastAsia="Calibri" w:hAnsi="Calibri" w:cs="Times New Roman"/>
          <w:bCs/>
        </w:rPr>
        <w:t>18</w:t>
      </w:r>
      <w:r w:rsidR="008853A4" w:rsidRPr="001E5DFE">
        <w:rPr>
          <w:rFonts w:ascii="Calibri" w:eastAsia="Calibri" w:hAnsi="Calibri" w:cs="Times New Roman"/>
          <w:bCs/>
        </w:rPr>
        <w:t xml:space="preserve">. </w:t>
      </w:r>
      <w:r w:rsidR="008853A4">
        <w:rPr>
          <w:rFonts w:ascii="Calibri" w:eastAsia="Calibri" w:hAnsi="Calibri" w:cs="Times New Roman"/>
          <w:bCs/>
        </w:rPr>
        <w:t>5</w:t>
      </w:r>
      <w:r w:rsidR="008853A4" w:rsidRPr="001E5DFE">
        <w:rPr>
          <w:rFonts w:ascii="Calibri" w:eastAsia="Calibri" w:hAnsi="Calibri" w:cs="Times New Roman"/>
          <w:bCs/>
        </w:rPr>
        <w:t xml:space="preserve">. 2023 na </w:t>
      </w:r>
      <w:r w:rsidR="008853A4">
        <w:rPr>
          <w:rFonts w:ascii="Calibri" w:eastAsia="Calibri" w:hAnsi="Calibri" w:cs="Times New Roman"/>
          <w:bCs/>
        </w:rPr>
        <w:t>18</w:t>
      </w:r>
      <w:r w:rsidR="008853A4" w:rsidRPr="001E5DFE">
        <w:rPr>
          <w:rFonts w:ascii="Calibri" w:eastAsia="Calibri" w:hAnsi="Calibri" w:cs="Times New Roman"/>
          <w:bCs/>
        </w:rPr>
        <w:t>. redni seji</w:t>
      </w:r>
      <w:r w:rsidR="004921CC">
        <w:rPr>
          <w:rFonts w:ascii="Calibri" w:eastAsia="Calibri" w:hAnsi="Calibri" w:cs="Times New Roman"/>
          <w:bCs/>
        </w:rPr>
        <w:t>,</w:t>
      </w:r>
      <w:r w:rsidR="002060E3" w:rsidRPr="004921CC">
        <w:rPr>
          <w:rFonts w:ascii="Calibri" w:eastAsia="Calibri" w:hAnsi="Calibri" w:cs="Times New Roman"/>
          <w:bCs/>
        </w:rPr>
        <w:t xml:space="preserve"> </w:t>
      </w:r>
      <w:r w:rsidR="00B7771B">
        <w:rPr>
          <w:rFonts w:ascii="Calibri" w:eastAsia="Calibri" w:hAnsi="Calibri" w:cs="Arial"/>
          <w:color w:val="000000"/>
          <w:lang w:eastAsia="sl-SI"/>
        </w:rPr>
        <w:t xml:space="preserve">Zakon o nujnih ukrepih za zajezitev širjenja in blaženja posledic nalezljive bolezni COVID-19 na področju zdravstva (ZNUNBZ), </w:t>
      </w:r>
      <w:r w:rsidR="002060E3" w:rsidRPr="004921CC">
        <w:rPr>
          <w:rFonts w:ascii="Calibri" w:eastAsia="Times New Roman" w:hAnsi="Calibri" w:cs="Calibri"/>
          <w:lang w:eastAsia="sl-SI"/>
        </w:rPr>
        <w:t>Pravilnik o spremembah in dopolnitvah Pravilnika za izvajanje preventivnega zdravstvenega varstva na primarni ravni (Uradn</w:t>
      </w:r>
      <w:r w:rsidR="00CD6C3D" w:rsidRPr="004921CC">
        <w:rPr>
          <w:rFonts w:ascii="Calibri" w:eastAsia="Times New Roman" w:hAnsi="Calibri" w:cs="Calibri"/>
          <w:lang w:eastAsia="sl-SI"/>
        </w:rPr>
        <w:t>i</w:t>
      </w:r>
      <w:r w:rsidR="002060E3" w:rsidRPr="004921CC">
        <w:rPr>
          <w:rFonts w:ascii="Calibri" w:eastAsia="Times New Roman" w:hAnsi="Calibri" w:cs="Calibri"/>
          <w:lang w:eastAsia="sl-SI"/>
        </w:rPr>
        <w:t xml:space="preserve"> list RS, št. 39/2023</w:t>
      </w:r>
      <w:r w:rsidR="00CD6C3D" w:rsidRPr="004921CC">
        <w:rPr>
          <w:rFonts w:ascii="Calibri" w:eastAsia="Times New Roman" w:hAnsi="Calibri" w:cs="Calibri"/>
          <w:lang w:eastAsia="sl-SI"/>
        </w:rPr>
        <w:t>)</w:t>
      </w:r>
      <w:r w:rsidR="005A39D9" w:rsidRPr="004921CC">
        <w:rPr>
          <w:rFonts w:ascii="Calibri" w:eastAsia="Times New Roman" w:hAnsi="Calibri" w:cs="Calibri"/>
          <w:lang w:eastAsia="sl-SI"/>
        </w:rPr>
        <w:t>,</w:t>
      </w:r>
      <w:r w:rsidR="005A39D9">
        <w:rPr>
          <w:rFonts w:ascii="Calibri" w:eastAsia="Times New Roman" w:hAnsi="Calibri" w:cs="Calibri"/>
          <w:lang w:eastAsia="sl-SI"/>
        </w:rPr>
        <w:t xml:space="preserve"> </w:t>
      </w:r>
      <w:r w:rsidR="005A39D9" w:rsidRPr="00D31CC7">
        <w:t>Uredb</w:t>
      </w:r>
      <w:r w:rsidR="005A39D9">
        <w:t>a</w:t>
      </w:r>
      <w:r w:rsidR="005A39D9" w:rsidRPr="00D31CC7">
        <w:t xml:space="preserve"> o programih storitev obveznega zdravstvenega zavarovanja, zmogljivostih, potrebnih za njegovo izvajanje, in obsegu sredstev za leto 2023</w:t>
      </w:r>
      <w:r w:rsidR="005A39D9" w:rsidRPr="00D31CC7">
        <w:rPr>
          <w:rFonts w:ascii="Calibri" w:eastAsia="Calibri" w:hAnsi="Calibri" w:cs="Times New Roman"/>
          <w:bCs/>
        </w:rPr>
        <w:t xml:space="preserve"> </w:t>
      </w:r>
      <w:r w:rsidR="005A39D9" w:rsidRPr="00D31CC7">
        <w:rPr>
          <w:rFonts w:ascii="Calibri" w:eastAsia="Times New Roman" w:hAnsi="Calibri" w:cs="Calibri"/>
          <w:lang w:eastAsia="sl-SI"/>
        </w:rPr>
        <w:t>(Uradni list RS,</w:t>
      </w:r>
      <w:r w:rsidR="005A39D9">
        <w:rPr>
          <w:rFonts w:ascii="Calibri" w:eastAsia="Times New Roman" w:hAnsi="Calibri" w:cs="Calibri"/>
          <w:lang w:eastAsia="sl-SI"/>
        </w:rPr>
        <w:t xml:space="preserve"> </w:t>
      </w:r>
      <w:r w:rsidR="005A39D9" w:rsidRPr="00D31CC7">
        <w:rPr>
          <w:rFonts w:ascii="Calibri" w:eastAsia="Times New Roman" w:hAnsi="Calibri" w:cs="Calibri"/>
          <w:lang w:eastAsia="sl-SI"/>
        </w:rPr>
        <w:t xml:space="preserve">št. </w:t>
      </w:r>
      <w:r w:rsidR="005A39D9">
        <w:rPr>
          <w:rFonts w:ascii="Calibri" w:eastAsia="Times New Roman" w:hAnsi="Calibri" w:cs="Calibri"/>
          <w:lang w:eastAsia="sl-SI"/>
        </w:rPr>
        <w:t>8</w:t>
      </w:r>
      <w:r w:rsidR="005A39D9" w:rsidRPr="00D31CC7">
        <w:rPr>
          <w:rFonts w:ascii="Calibri" w:eastAsia="Times New Roman" w:hAnsi="Calibri" w:cs="Calibri"/>
          <w:lang w:eastAsia="sl-SI"/>
        </w:rPr>
        <w:t xml:space="preserve">/2023; v nadaljevanju </w:t>
      </w:r>
      <w:r w:rsidR="005A39D9" w:rsidRPr="00D31CC7">
        <w:t>Uredb</w:t>
      </w:r>
      <w:r w:rsidR="005A39D9">
        <w:t>a</w:t>
      </w:r>
      <w:r w:rsidR="005A39D9" w:rsidRPr="00D31CC7">
        <w:t xml:space="preserve"> o programih storitev OZZ 2023</w:t>
      </w:r>
      <w:r w:rsidR="005A39D9" w:rsidRPr="00D31CC7">
        <w:rPr>
          <w:rFonts w:ascii="Calibri" w:eastAsia="Times New Roman" w:hAnsi="Calibri" w:cs="Calibri"/>
          <w:lang w:eastAsia="sl-SI"/>
        </w:rPr>
        <w:t>)</w:t>
      </w:r>
      <w:r w:rsidR="005A39D9">
        <w:rPr>
          <w:rFonts w:ascii="Calibri" w:eastAsia="Times New Roman" w:hAnsi="Calibri" w:cs="Calibri"/>
          <w:lang w:eastAsia="sl-SI"/>
        </w:rPr>
        <w:t xml:space="preserve">, </w:t>
      </w:r>
      <w:r w:rsidR="00CD6C3D" w:rsidRPr="00D31CC7">
        <w:t>Uredb</w:t>
      </w:r>
      <w:r w:rsidR="005A39D9">
        <w:t>a</w:t>
      </w:r>
      <w:r w:rsidR="00CD6C3D" w:rsidRPr="00D31CC7">
        <w:t xml:space="preserve"> o spremembah in dopolnitvah Uredbe o programih storitev obveznega zdravstvenega zavarovanja, zmogljivostih, potrebnih za njegovo izvajanje, in obsegu sredstev za leto 2023</w:t>
      </w:r>
      <w:r w:rsidRPr="00D31CC7">
        <w:rPr>
          <w:rFonts w:ascii="Calibri" w:eastAsia="Calibri" w:hAnsi="Calibri" w:cs="Times New Roman"/>
          <w:bCs/>
        </w:rPr>
        <w:t xml:space="preserve"> </w:t>
      </w:r>
      <w:r w:rsidR="00CD6C3D" w:rsidRPr="00D31CC7">
        <w:rPr>
          <w:rFonts w:ascii="Calibri" w:eastAsia="Times New Roman" w:hAnsi="Calibri" w:cs="Calibri"/>
          <w:lang w:eastAsia="sl-SI"/>
        </w:rPr>
        <w:t>(Uradni list RS,</w:t>
      </w:r>
      <w:r w:rsidR="0053785E">
        <w:rPr>
          <w:rFonts w:ascii="Calibri" w:eastAsia="Times New Roman" w:hAnsi="Calibri" w:cs="Calibri"/>
          <w:lang w:eastAsia="sl-SI"/>
        </w:rPr>
        <w:t xml:space="preserve"> </w:t>
      </w:r>
      <w:r w:rsidR="00CD6C3D" w:rsidRPr="00D31CC7">
        <w:rPr>
          <w:rFonts w:ascii="Calibri" w:eastAsia="Times New Roman" w:hAnsi="Calibri" w:cs="Calibri"/>
          <w:lang w:eastAsia="sl-SI"/>
        </w:rPr>
        <w:t>št. 5</w:t>
      </w:r>
      <w:r w:rsidR="00F22DAC" w:rsidRPr="00D31CC7">
        <w:rPr>
          <w:rFonts w:ascii="Calibri" w:eastAsia="Times New Roman" w:hAnsi="Calibri" w:cs="Calibri"/>
          <w:lang w:eastAsia="sl-SI"/>
        </w:rPr>
        <w:t>2</w:t>
      </w:r>
      <w:r w:rsidR="00CD6C3D" w:rsidRPr="00D31CC7">
        <w:rPr>
          <w:rFonts w:ascii="Calibri" w:eastAsia="Times New Roman" w:hAnsi="Calibri" w:cs="Calibri"/>
          <w:lang w:eastAsia="sl-SI"/>
        </w:rPr>
        <w:t>/2023</w:t>
      </w:r>
      <w:r w:rsidR="00D43CD2" w:rsidRPr="00D31CC7">
        <w:rPr>
          <w:rFonts w:ascii="Calibri" w:eastAsia="Times New Roman" w:hAnsi="Calibri" w:cs="Calibri"/>
          <w:lang w:eastAsia="sl-SI"/>
        </w:rPr>
        <w:t xml:space="preserve">; v nadaljevanju </w:t>
      </w:r>
      <w:r w:rsidR="00D43CD2" w:rsidRPr="00D31CC7">
        <w:t>Uredb</w:t>
      </w:r>
      <w:r w:rsidR="005A39D9">
        <w:t>a</w:t>
      </w:r>
      <w:r w:rsidR="00D43CD2" w:rsidRPr="00D31CC7">
        <w:t xml:space="preserve"> o spremembah in dopolnitvah Uredbe o programih storitev OZZ 2023</w:t>
      </w:r>
      <w:r w:rsidR="00CD6C3D" w:rsidRPr="00D31CC7">
        <w:rPr>
          <w:rFonts w:ascii="Calibri" w:eastAsia="Times New Roman" w:hAnsi="Calibri" w:cs="Calibri"/>
          <w:lang w:eastAsia="sl-SI"/>
        </w:rPr>
        <w:t xml:space="preserve">) </w:t>
      </w:r>
      <w:r w:rsidRPr="0063161E">
        <w:rPr>
          <w:rFonts w:ascii="Calibri" w:eastAsia="Calibri" w:hAnsi="Calibri" w:cs="Times New Roman"/>
          <w:bCs/>
        </w:rPr>
        <w:t>ter druge dopolnitve.</w:t>
      </w:r>
      <w:r w:rsidRPr="007B58AE">
        <w:rPr>
          <w:rFonts w:ascii="Calibri" w:eastAsia="Calibri" w:hAnsi="Calibri" w:cs="Times New Roman"/>
          <w:bCs/>
        </w:rPr>
        <w:t xml:space="preserve">     </w:t>
      </w:r>
    </w:p>
    <w:p w14:paraId="6D3F9D63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3C85C205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7B58AE">
        <w:rPr>
          <w:rFonts w:ascii="Calibri" w:eastAsia="Calibri" w:hAnsi="Calibri" w:cs="Times New Roman"/>
          <w:bCs/>
        </w:rPr>
        <w:t>Spremembe in dopolnitve so oštevilčene, pri vsaki točki pa je navedena kontaktna oseba za vsebinska vprašanja. V okrožnici je zajeta naslednja vsebina:</w:t>
      </w:r>
    </w:p>
    <w:p w14:paraId="727118BF" w14:textId="77777777" w:rsidR="00821574" w:rsidRPr="007B58AE" w:rsidRDefault="00821574" w:rsidP="00BE4FAD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58DF7C58" w14:textId="43D7C48A" w:rsidR="00F40784" w:rsidRDefault="0082157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7A5C37">
        <w:rPr>
          <w:bCs/>
          <w:noProof/>
        </w:rPr>
        <w:fldChar w:fldCharType="begin"/>
      </w:r>
      <w:r w:rsidRPr="007A5C37">
        <w:rPr>
          <w:bCs/>
          <w:noProof/>
        </w:rPr>
        <w:instrText xml:space="preserve"> TOC \o "1-3" \n \h \z \u </w:instrText>
      </w:r>
      <w:r w:rsidRPr="007A5C37">
        <w:rPr>
          <w:bCs/>
          <w:noProof/>
        </w:rPr>
        <w:fldChar w:fldCharType="separate"/>
      </w:r>
      <w:hyperlink w:anchor="_Toc135648846" w:history="1">
        <w:r w:rsidR="00F40784" w:rsidRPr="0064559C">
          <w:rPr>
            <w:rStyle w:val="Hiperpovezava"/>
            <w:rFonts w:cs="Calibri"/>
            <w:b/>
            <w:noProof/>
          </w:rPr>
          <w:t>1.</w:t>
        </w:r>
        <w:r w:rsidR="00F4078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40784" w:rsidRPr="0064559C">
          <w:rPr>
            <w:rStyle w:val="Hiperpovezava"/>
            <w:rFonts w:cs="Calibri"/>
            <w:b/>
            <w:noProof/>
          </w:rPr>
          <w:t>Akutna bolnišnična obravnava SPP – sprememba uteži pri storitvi F24B »Interventni posegi na koronarkah, brez AMI, brez zapletov« s 1. 1. 2023</w:t>
        </w:r>
      </w:hyperlink>
    </w:p>
    <w:p w14:paraId="10B221E0" w14:textId="3C1F95C9" w:rsidR="00F40784" w:rsidRDefault="00F4078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135648847" w:history="1">
        <w:r w:rsidRPr="0064559C">
          <w:rPr>
            <w:rStyle w:val="Hiperpovezava"/>
            <w:rFonts w:cs="Calibri"/>
            <w:b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559C">
          <w:rPr>
            <w:rStyle w:val="Hiperpovezava"/>
            <w:rFonts w:cs="Calibri"/>
            <w:b/>
            <w:noProof/>
          </w:rPr>
          <w:t>Vstopne triažne točke – storitev E0092 s 1. 2. 2023</w:t>
        </w:r>
      </w:hyperlink>
    </w:p>
    <w:p w14:paraId="1CCA430D" w14:textId="0A92282B" w:rsidR="00F40784" w:rsidRDefault="00F4078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135648848" w:history="1">
        <w:r w:rsidRPr="0064559C">
          <w:rPr>
            <w:rStyle w:val="Hiperpovezava"/>
            <w:rFonts w:cs="Calibri"/>
            <w:b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559C">
          <w:rPr>
            <w:rStyle w:val="Hiperpovezava"/>
            <w:rFonts w:cs="Calibri"/>
            <w:b/>
            <w:noProof/>
          </w:rPr>
          <w:t>Logopedske storitve – dopolnitve kadrovskega normativa pri nekaterih storitvah s 1. 3. 2023</w:t>
        </w:r>
      </w:hyperlink>
    </w:p>
    <w:p w14:paraId="167B17CD" w14:textId="54706DE4" w:rsidR="00F40784" w:rsidRDefault="00F4078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135648849" w:history="1">
        <w:r w:rsidRPr="0064559C">
          <w:rPr>
            <w:rStyle w:val="Hiperpovezava"/>
            <w:rFonts w:cs="Calibri"/>
            <w:b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559C">
          <w:rPr>
            <w:rStyle w:val="Hiperpovezava"/>
            <w:rFonts w:cs="Calibri"/>
            <w:b/>
            <w:noProof/>
          </w:rPr>
          <w:t>Dispanzer za ženske – nova storitev K1060 »Presejalni test« ter dopolnitev opisa storitve K1023 »Posegi IV« s 1. 5. 2023</w:t>
        </w:r>
      </w:hyperlink>
    </w:p>
    <w:p w14:paraId="0B4CD14B" w14:textId="18041E9A" w:rsidR="00F40784" w:rsidRDefault="00F4078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135648850" w:history="1">
        <w:r w:rsidRPr="0064559C">
          <w:rPr>
            <w:rStyle w:val="Hiperpovezava"/>
            <w:rFonts w:cs="Calibri"/>
            <w:b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559C">
          <w:rPr>
            <w:rStyle w:val="Hiperpovezava"/>
            <w:rFonts w:cs="Calibri"/>
            <w:b/>
            <w:noProof/>
          </w:rPr>
          <w:t>Ambulante za neopredeljene – kontrola starostne omejitve in ukinitev beleženja storitev K0010, K0013 in K0015 s 1. 6. 2023</w:t>
        </w:r>
      </w:hyperlink>
    </w:p>
    <w:p w14:paraId="1D05D81B" w14:textId="114F3425" w:rsidR="00F40784" w:rsidRDefault="00F4078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135648851" w:history="1">
        <w:r w:rsidRPr="0064559C">
          <w:rPr>
            <w:rStyle w:val="Hiperpovezava"/>
            <w:rFonts w:cs="Calibri"/>
            <w:b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559C">
          <w:rPr>
            <w:rStyle w:val="Hiperpovezava"/>
            <w:rFonts w:cs="Calibri"/>
            <w:b/>
            <w:noProof/>
          </w:rPr>
          <w:t>Lekarne na primarni ravni – v okviru brezšivne skrbi uvedba novih storitev 75011 »Pregled uporabe zdravil (PUZ)« in 75011 »Kontrolni pregled uporabe zdravil (kPUZ)« ter dopolnitev dolgega opisa storitve 75010 »Posodobitev osebne kartice zdravil (pOKZ)« s 1. 7. 2023</w:t>
        </w:r>
      </w:hyperlink>
    </w:p>
    <w:p w14:paraId="48CF1809" w14:textId="04403D95" w:rsidR="00821574" w:rsidRPr="007A5C37" w:rsidRDefault="00821574" w:rsidP="00BE4FAD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7A5C3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fldChar w:fldCharType="end"/>
      </w:r>
    </w:p>
    <w:p w14:paraId="4BD9EFAE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02CCBAF5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7B58AE">
        <w:rPr>
          <w:rFonts w:ascii="Calibri" w:eastAsia="Calibri" w:hAnsi="Calibri" w:cs="Times New Roman"/>
        </w:rPr>
        <w:t>S spoštovanjem.</w:t>
      </w:r>
    </w:p>
    <w:p w14:paraId="032D0D31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60A8ED10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21574" w:rsidRPr="007B58AE" w14:paraId="7E006AB7" w14:textId="77777777" w:rsidTr="0079072B">
        <w:tc>
          <w:tcPr>
            <w:tcW w:w="4701" w:type="dxa"/>
          </w:tcPr>
          <w:p w14:paraId="4B9B6996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7B58AE">
              <w:rPr>
                <w:rFonts w:ascii="Calibri" w:eastAsia="Calibri" w:hAnsi="Calibri" w:cs="Times New Roman"/>
              </w:rPr>
              <w:t>Pripravili:</w:t>
            </w:r>
          </w:p>
          <w:p w14:paraId="242E731D" w14:textId="0FAC7EC4" w:rsidR="00821574" w:rsidRDefault="00821574" w:rsidP="0079072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B58AE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6787D288" w14:textId="648270F7" w:rsidR="00CB4BCD" w:rsidRPr="007B58AE" w:rsidRDefault="00CB4BCD" w:rsidP="0079072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Rozeta Hafner, višja področna svetovalka</w:t>
            </w:r>
          </w:p>
          <w:p w14:paraId="545C7EF4" w14:textId="3DC1FA87" w:rsidR="00CB4BCD" w:rsidRPr="007B58AE" w:rsidRDefault="00CB4BCD" w:rsidP="00CB4BCD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Anita </w:t>
            </w:r>
            <w:r w:rsidRPr="00A81EB8">
              <w:rPr>
                <w:rFonts w:ascii="Calibri" w:eastAsia="Times New Roman" w:hAnsi="Calibri" w:cs="Arial"/>
                <w:lang w:eastAsia="sl-SI"/>
              </w:rPr>
              <w:t>Strmljan</w:t>
            </w:r>
            <w:r w:rsidRPr="007B58AE">
              <w:rPr>
                <w:rFonts w:ascii="Calibri" w:eastAsia="Times New Roman" w:hAnsi="Calibri" w:cs="Calibri"/>
                <w:color w:val="000000"/>
                <w:lang w:eastAsia="sl-SI"/>
              </w:rPr>
              <w:t>, strokovna sodelavka</w:t>
            </w:r>
          </w:p>
          <w:p w14:paraId="42A70E9E" w14:textId="3F2A49C2" w:rsidR="00821574" w:rsidRPr="007B58AE" w:rsidRDefault="00821574" w:rsidP="00555F5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701" w:type="dxa"/>
          </w:tcPr>
          <w:p w14:paraId="1DE89BF7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B58AE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7FB42107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B58AE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  <w:p w14:paraId="3C6402A1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63C5A258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379C3094" w14:textId="77777777" w:rsidR="00821574" w:rsidRPr="007B58AE" w:rsidRDefault="00821574" w:rsidP="0079072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8D5BF87" w14:textId="77777777" w:rsidR="00821574" w:rsidRPr="007B58AE" w:rsidRDefault="00821574" w:rsidP="0082157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7B58AE">
        <w:rPr>
          <w:rFonts w:ascii="Calibri" w:eastAsia="Calibri" w:hAnsi="Calibri" w:cs="Times New Roman"/>
        </w:rPr>
        <w:tab/>
      </w:r>
    </w:p>
    <w:p w14:paraId="522499E3" w14:textId="06250436" w:rsidR="00821574" w:rsidRPr="00555F5E" w:rsidRDefault="00821574" w:rsidP="00555F5E">
      <w:r w:rsidRPr="007B58AE">
        <w:rPr>
          <w:rFonts w:ascii="Calibri" w:eastAsia="Calibri" w:hAnsi="Calibri" w:cs="Times New Roman"/>
        </w:rPr>
        <w:tab/>
      </w:r>
      <w:r w:rsidRPr="007B58AE">
        <w:rPr>
          <w:rFonts w:ascii="Calibri" w:eastAsia="Calibri" w:hAnsi="Calibri" w:cs="Times New Roman"/>
        </w:rPr>
        <w:tab/>
      </w:r>
      <w:r w:rsidRPr="007B58AE">
        <w:rPr>
          <w:rFonts w:ascii="Calibri" w:eastAsia="Calibri" w:hAnsi="Calibri" w:cs="Times New Roman"/>
        </w:rPr>
        <w:tab/>
      </w:r>
      <w:r w:rsidRPr="007B58AE">
        <w:rPr>
          <w:rFonts w:ascii="Calibri" w:eastAsia="Calibri" w:hAnsi="Calibri" w:cs="Times New Roman"/>
        </w:rPr>
        <w:tab/>
      </w:r>
      <w:r w:rsidRPr="007B58AE">
        <w:rPr>
          <w:rFonts w:ascii="Calibri" w:eastAsia="Calibri" w:hAnsi="Calibri" w:cs="Times New Roman"/>
        </w:rPr>
        <w:tab/>
      </w:r>
    </w:p>
    <w:p w14:paraId="61308AC1" w14:textId="66C5272F" w:rsidR="00821574" w:rsidRPr="007B58AE" w:rsidRDefault="00821574" w:rsidP="00DA2DF8">
      <w:pPr>
        <w:spacing w:after="0" w:line="240" w:lineRule="auto"/>
        <w:ind w:left="720"/>
        <w:jc w:val="both"/>
        <w:rPr>
          <w:rFonts w:ascii="Calibri" w:eastAsia="Calibri" w:hAnsi="Calibri" w:cs="Times New Roman"/>
          <w:lang w:eastAsia="sl-SI"/>
        </w:rPr>
        <w:sectPr w:rsidR="00821574" w:rsidRPr="007B58AE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7E33CE1F" w14:textId="778A9A50" w:rsidR="00AE61B4" w:rsidRDefault="00D43946" w:rsidP="00AE61B4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0" w:name="_Toc121233711"/>
      <w:bookmarkStart w:id="1" w:name="_Hlk113350167"/>
      <w:bookmarkStart w:id="2" w:name="_Toc106358478"/>
      <w:bookmarkStart w:id="3" w:name="_Hlk119860980"/>
      <w:bookmarkStart w:id="4" w:name="_Toc135648846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lastRenderedPageBreak/>
        <w:t>Akutn</w:t>
      </w:r>
      <w:r w:rsidR="008A241C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bolnišničn</w:t>
      </w:r>
      <w:r w:rsidR="008A241C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obravnav</w:t>
      </w:r>
      <w:r w:rsidR="008A241C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 w:rsidR="00AE61B4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SPP – sprememba uteži pri </w:t>
      </w:r>
      <w:r w:rsidR="007337AE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storitvi </w:t>
      </w:r>
      <w:r w:rsidR="00AE61B4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F24B »</w:t>
      </w:r>
      <w:r w:rsidRPr="00D4394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Interventni posegi na koronarkah, brez AMI, brez zapletov</w:t>
      </w:r>
      <w:r w:rsidR="00AE61B4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« s 1. 1. 2023</w:t>
      </w:r>
      <w:bookmarkEnd w:id="4"/>
    </w:p>
    <w:p w14:paraId="580F120B" w14:textId="5534234F" w:rsidR="00AE61B4" w:rsidRPr="00AE61B4" w:rsidRDefault="00AE61B4" w:rsidP="00AE61B4">
      <w:pPr>
        <w:widowControl w:val="0"/>
        <w:suppressAutoHyphens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5C99E567" w14:textId="77777777" w:rsidR="00D43946" w:rsidRPr="00A81EB8" w:rsidRDefault="00D43946" w:rsidP="00D43946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A81EB8">
        <w:rPr>
          <w:rFonts w:ascii="Calibri" w:eastAsia="Times New Roman" w:hAnsi="Calibri" w:cs="Arial"/>
          <w:i/>
          <w:color w:val="0070C0"/>
          <w:lang w:eastAsia="sl-SI"/>
        </w:rPr>
        <w:t>Izvajalcem akutnih bolnišničnih obravnav v sistemu SPP</w:t>
      </w:r>
    </w:p>
    <w:p w14:paraId="17029828" w14:textId="77777777" w:rsidR="00D43946" w:rsidRPr="00A81EB8" w:rsidRDefault="00D43946" w:rsidP="00D4394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993F40C" w14:textId="79C8B90C" w:rsidR="00D43946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A81EB8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A81EB8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247006A9" w14:textId="55B4025D" w:rsidR="00D43946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75CB92C2" w14:textId="7B1D6AC5" w:rsidR="007337AE" w:rsidRPr="007337AE" w:rsidRDefault="007337AE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7337AE">
        <w:rPr>
          <w:rFonts w:ascii="Calibri" w:eastAsia="Times New Roman" w:hAnsi="Calibri" w:cs="Calibri"/>
          <w:color w:val="000000"/>
          <w:lang w:eastAsia="sl-SI"/>
        </w:rPr>
        <w:t>Upravni odbor Zavoda</w:t>
      </w:r>
      <w:r>
        <w:rPr>
          <w:rFonts w:ascii="Calibri" w:eastAsia="Times New Roman" w:hAnsi="Calibri" w:cs="Calibri"/>
          <w:color w:val="000000"/>
          <w:lang w:eastAsia="sl-SI"/>
        </w:rPr>
        <w:t xml:space="preserve"> je sprejel povišanje</w:t>
      </w:r>
      <w:r w:rsidRPr="007337AE">
        <w:rPr>
          <w:rFonts w:ascii="Calibri" w:eastAsia="Times New Roman" w:hAnsi="Calibri" w:cs="Calibri"/>
          <w:color w:val="000000"/>
          <w:lang w:eastAsia="sl-SI"/>
        </w:rPr>
        <w:t xml:space="preserve"> uteži pri </w:t>
      </w:r>
      <w:r>
        <w:rPr>
          <w:rFonts w:ascii="Calibri" w:eastAsia="Times New Roman" w:hAnsi="Calibri" w:cs="Calibri"/>
          <w:color w:val="000000"/>
          <w:lang w:eastAsia="sl-SI"/>
        </w:rPr>
        <w:t xml:space="preserve">storitvi </w:t>
      </w:r>
      <w:r w:rsidRPr="007337AE">
        <w:rPr>
          <w:rFonts w:ascii="Calibri" w:eastAsia="Times New Roman" w:hAnsi="Calibri" w:cs="Calibri"/>
          <w:color w:val="000000"/>
          <w:lang w:eastAsia="sl-SI"/>
        </w:rPr>
        <w:t>F24B »Interventni posegi na koronarkah, brez AMI, brez zapletov«</w:t>
      </w:r>
      <w:r>
        <w:rPr>
          <w:rFonts w:ascii="Calibri" w:eastAsia="Times New Roman" w:hAnsi="Calibri" w:cs="Calibri"/>
          <w:color w:val="000000"/>
          <w:lang w:eastAsia="sl-SI"/>
        </w:rPr>
        <w:t>.</w:t>
      </w:r>
    </w:p>
    <w:p w14:paraId="6ABB9369" w14:textId="77777777" w:rsidR="007337AE" w:rsidRDefault="007337AE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86A981C" w14:textId="77777777" w:rsidR="00D43946" w:rsidRPr="003A760D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3A760D">
        <w:rPr>
          <w:rFonts w:ascii="Calibri" w:hAnsi="Calibri" w:cs="Calibri"/>
          <w:b/>
          <w:bCs/>
          <w:color w:val="000000"/>
        </w:rPr>
        <w:t>Navodilo za obračun</w:t>
      </w:r>
    </w:p>
    <w:p w14:paraId="3071CA4C" w14:textId="0BA289F5" w:rsidR="00D43946" w:rsidRPr="007337AE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7593218A" w14:textId="2283CBD8" w:rsidR="00D43946" w:rsidRDefault="007337AE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V seznamu storitev 15.26 »</w:t>
      </w:r>
      <w:r w:rsidR="007E6E4B" w:rsidRPr="007E6E4B">
        <w:rPr>
          <w:rFonts w:ascii="Calibri" w:eastAsia="Times New Roman" w:hAnsi="Calibri" w:cs="Calibri"/>
          <w:color w:val="000000"/>
          <w:lang w:eastAsia="sl-SI"/>
        </w:rPr>
        <w:t>Skupine primerljivih primerov (SPP)</w:t>
      </w:r>
      <w:r>
        <w:rPr>
          <w:rFonts w:ascii="Calibri" w:eastAsia="Times New Roman" w:hAnsi="Calibri" w:cs="Calibri"/>
          <w:color w:val="000000"/>
          <w:lang w:eastAsia="sl-SI"/>
        </w:rPr>
        <w:t xml:space="preserve">« </w:t>
      </w:r>
      <w:r w:rsidRPr="007337AE">
        <w:rPr>
          <w:rFonts w:ascii="Calibri" w:eastAsia="Times New Roman" w:hAnsi="Calibri" w:cs="Calibri"/>
          <w:color w:val="000000"/>
          <w:lang w:eastAsia="sl-SI"/>
        </w:rPr>
        <w:t xml:space="preserve">spreminjamo </w:t>
      </w:r>
      <w:r>
        <w:rPr>
          <w:rFonts w:ascii="Calibri" w:eastAsia="Times New Roman" w:hAnsi="Calibri" w:cs="Calibri"/>
          <w:color w:val="000000"/>
          <w:lang w:eastAsia="sl-SI"/>
        </w:rPr>
        <w:t xml:space="preserve">utež </w:t>
      </w:r>
      <w:r w:rsidRPr="007337AE">
        <w:rPr>
          <w:rFonts w:ascii="Calibri" w:eastAsia="Times New Roman" w:hAnsi="Calibri" w:cs="Calibri"/>
          <w:color w:val="000000"/>
          <w:lang w:eastAsia="sl-SI"/>
        </w:rPr>
        <w:t xml:space="preserve">pri </w:t>
      </w:r>
      <w:r>
        <w:rPr>
          <w:rFonts w:ascii="Calibri" w:eastAsia="Times New Roman" w:hAnsi="Calibri" w:cs="Calibri"/>
          <w:color w:val="000000"/>
          <w:lang w:eastAsia="sl-SI"/>
        </w:rPr>
        <w:t xml:space="preserve">storitvi </w:t>
      </w:r>
      <w:r w:rsidRPr="007337AE">
        <w:rPr>
          <w:rFonts w:ascii="Calibri" w:eastAsia="Times New Roman" w:hAnsi="Calibri" w:cs="Calibri"/>
          <w:color w:val="000000"/>
          <w:lang w:eastAsia="sl-SI"/>
        </w:rPr>
        <w:t>F24B »Interventni posegi na koronarkah, brez AMI, brez zapletov«</w:t>
      </w:r>
      <w:r w:rsidR="00D454E4">
        <w:rPr>
          <w:rFonts w:ascii="Calibri" w:eastAsia="Times New Roman" w:hAnsi="Calibri" w:cs="Calibri"/>
          <w:color w:val="000000"/>
          <w:lang w:eastAsia="sl-SI"/>
        </w:rPr>
        <w:t xml:space="preserve"> kot sledi:</w:t>
      </w:r>
    </w:p>
    <w:p w14:paraId="1CD4258B" w14:textId="11B1003E" w:rsidR="00D454E4" w:rsidRDefault="00D454E4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04"/>
        <w:gridCol w:w="3056"/>
        <w:gridCol w:w="3465"/>
        <w:gridCol w:w="1275"/>
        <w:gridCol w:w="993"/>
      </w:tblGrid>
      <w:tr w:rsidR="00D454E4" w14:paraId="1D0E5C58" w14:textId="77777777" w:rsidTr="0036687B">
        <w:tc>
          <w:tcPr>
            <w:tcW w:w="704" w:type="dxa"/>
            <w:vAlign w:val="bottom"/>
          </w:tcPr>
          <w:p w14:paraId="7EC983F0" w14:textId="7B59BE66" w:rsidR="00D454E4" w:rsidRPr="00D454E4" w:rsidRDefault="00D454E4" w:rsidP="00D454E4">
            <w:pPr>
              <w:widowControl w:val="0"/>
              <w:suppressAutoHyphens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cstheme="minorHAnsi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3056" w:type="dxa"/>
            <w:vAlign w:val="bottom"/>
          </w:tcPr>
          <w:p w14:paraId="13D79D61" w14:textId="3CEA39FA" w:rsidR="00D454E4" w:rsidRPr="00D454E4" w:rsidRDefault="00D454E4" w:rsidP="00D454E4">
            <w:pPr>
              <w:widowControl w:val="0"/>
              <w:suppressAutoHyphens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cstheme="minorHAnsi"/>
                <w:b/>
                <w:bCs/>
                <w:sz w:val="20"/>
                <w:szCs w:val="20"/>
              </w:rPr>
              <w:t>Kratek opis</w:t>
            </w:r>
          </w:p>
        </w:tc>
        <w:tc>
          <w:tcPr>
            <w:tcW w:w="3465" w:type="dxa"/>
            <w:vAlign w:val="bottom"/>
          </w:tcPr>
          <w:p w14:paraId="51BD4A35" w14:textId="00BF0D75" w:rsidR="00D454E4" w:rsidRPr="00D454E4" w:rsidRDefault="00D454E4" w:rsidP="00D454E4">
            <w:pPr>
              <w:widowControl w:val="0"/>
              <w:suppressAutoHyphens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cstheme="minorHAnsi"/>
                <w:b/>
                <w:bCs/>
                <w:sz w:val="20"/>
                <w:szCs w:val="20"/>
              </w:rPr>
              <w:t>Dolg opis</w:t>
            </w:r>
          </w:p>
        </w:tc>
        <w:tc>
          <w:tcPr>
            <w:tcW w:w="1275" w:type="dxa"/>
            <w:vAlign w:val="bottom"/>
          </w:tcPr>
          <w:p w14:paraId="65D4C764" w14:textId="3C73E89E" w:rsidR="00D454E4" w:rsidRPr="00D454E4" w:rsidRDefault="00D454E4" w:rsidP="00D454E4">
            <w:pPr>
              <w:widowControl w:val="0"/>
              <w:suppressAutoHyphens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cstheme="minorHAnsi"/>
                <w:b/>
                <w:bCs/>
                <w:sz w:val="20"/>
                <w:szCs w:val="20"/>
              </w:rPr>
              <w:t>Naziv enote mere</w:t>
            </w:r>
          </w:p>
        </w:tc>
        <w:tc>
          <w:tcPr>
            <w:tcW w:w="993" w:type="dxa"/>
            <w:vAlign w:val="bottom"/>
          </w:tcPr>
          <w:p w14:paraId="2EF23600" w14:textId="45AFC832" w:rsidR="00D454E4" w:rsidRPr="00D454E4" w:rsidRDefault="00D454E4" w:rsidP="00D454E4">
            <w:pPr>
              <w:widowControl w:val="0"/>
              <w:suppressAutoHyphens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cstheme="minorHAnsi"/>
                <w:b/>
                <w:bCs/>
                <w:sz w:val="20"/>
                <w:szCs w:val="20"/>
              </w:rPr>
              <w:t>Št. enot mere</w:t>
            </w:r>
          </w:p>
        </w:tc>
      </w:tr>
      <w:tr w:rsidR="00D454E4" w14:paraId="678EF38E" w14:textId="77777777" w:rsidTr="0036687B">
        <w:tc>
          <w:tcPr>
            <w:tcW w:w="704" w:type="dxa"/>
            <w:vAlign w:val="bottom"/>
          </w:tcPr>
          <w:p w14:paraId="4AF9543D" w14:textId="083EF2AB" w:rsidR="00D454E4" w:rsidRPr="00D454E4" w:rsidRDefault="00D454E4" w:rsidP="00D454E4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ascii="Calibri" w:hAnsi="Calibri" w:cs="Calibri"/>
                <w:color w:val="000000"/>
                <w:sz w:val="20"/>
                <w:szCs w:val="20"/>
              </w:rPr>
              <w:t>F24B</w:t>
            </w:r>
          </w:p>
        </w:tc>
        <w:tc>
          <w:tcPr>
            <w:tcW w:w="3056" w:type="dxa"/>
            <w:vAlign w:val="bottom"/>
          </w:tcPr>
          <w:p w14:paraId="5A2191CF" w14:textId="71F044CA" w:rsidR="00D454E4" w:rsidRPr="00D454E4" w:rsidRDefault="00D454E4" w:rsidP="00D454E4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ascii="Calibri" w:hAnsi="Calibri" w:cs="Calibri"/>
                <w:color w:val="000000"/>
                <w:sz w:val="20"/>
                <w:szCs w:val="20"/>
              </w:rPr>
              <w:t>Interv. koron. posegi, brez AMI, brez zapl.</w:t>
            </w:r>
          </w:p>
        </w:tc>
        <w:tc>
          <w:tcPr>
            <w:tcW w:w="3465" w:type="dxa"/>
            <w:vAlign w:val="bottom"/>
          </w:tcPr>
          <w:p w14:paraId="54E39062" w14:textId="298BDBD7" w:rsidR="00D454E4" w:rsidRPr="00D454E4" w:rsidRDefault="00D454E4" w:rsidP="00D454E4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ascii="Calibri" w:hAnsi="Calibri" w:cs="Calibri"/>
                <w:color w:val="000000"/>
                <w:sz w:val="20"/>
                <w:szCs w:val="20"/>
              </w:rPr>
              <w:t>Interventni posegi na koronarkah, brez AMI, brez zapletov</w:t>
            </w:r>
          </w:p>
        </w:tc>
        <w:tc>
          <w:tcPr>
            <w:tcW w:w="1275" w:type="dxa"/>
            <w:vAlign w:val="bottom"/>
          </w:tcPr>
          <w:p w14:paraId="3926E5CE" w14:textId="757D94A7" w:rsidR="00D454E4" w:rsidRPr="00D454E4" w:rsidRDefault="00D454E4" w:rsidP="00D454E4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ascii="Calibri" w:hAnsi="Calibri" w:cs="Calibri"/>
                <w:color w:val="000000"/>
                <w:sz w:val="20"/>
                <w:szCs w:val="20"/>
              </w:rPr>
              <w:t>utež</w:t>
            </w:r>
          </w:p>
        </w:tc>
        <w:tc>
          <w:tcPr>
            <w:tcW w:w="993" w:type="dxa"/>
            <w:vAlign w:val="bottom"/>
          </w:tcPr>
          <w:p w14:paraId="244AE063" w14:textId="6DBCCACB" w:rsidR="00D454E4" w:rsidRPr="00D454E4" w:rsidRDefault="00D454E4" w:rsidP="00D454E4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454E4">
              <w:rPr>
                <w:rFonts w:ascii="Calibri" w:hAnsi="Calibri" w:cs="Calibri"/>
                <w:strike/>
                <w:sz w:val="20"/>
                <w:szCs w:val="20"/>
              </w:rPr>
              <w:t>1,51</w:t>
            </w:r>
            <w:r w:rsidRPr="00D454E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36687B">
              <w:rPr>
                <w:rFonts w:ascii="Calibri" w:hAnsi="Calibri" w:cs="Calibri"/>
                <w:b/>
                <w:bCs/>
                <w:sz w:val="20"/>
                <w:szCs w:val="20"/>
              </w:rPr>
              <w:t>2.89</w:t>
            </w:r>
          </w:p>
        </w:tc>
      </w:tr>
    </w:tbl>
    <w:p w14:paraId="0CDA9BBC" w14:textId="77777777" w:rsidR="00717A2D" w:rsidRPr="007337AE" w:rsidRDefault="00717A2D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146DC8BB" w14:textId="01B98C1C" w:rsidR="00EE0469" w:rsidRPr="003A760D" w:rsidRDefault="00EE0469" w:rsidP="00EE04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6F507B">
        <w:rPr>
          <w:rFonts w:ascii="Calibri" w:hAnsi="Calibri"/>
        </w:rPr>
        <w:t>Sprememba</w:t>
      </w:r>
      <w:r w:rsidR="0016669B">
        <w:rPr>
          <w:rFonts w:ascii="Calibri" w:hAnsi="Calibri"/>
        </w:rPr>
        <w:t xml:space="preserve"> uteži</w:t>
      </w:r>
      <w:r w:rsidRPr="006F507B">
        <w:rPr>
          <w:rFonts w:ascii="Calibri" w:hAnsi="Calibri"/>
        </w:rPr>
        <w:t xml:space="preserve"> velja za storitve, opravljene od 1. 1. 2023 dalje</w:t>
      </w:r>
      <w:r w:rsidR="003A4359">
        <w:rPr>
          <w:rFonts w:ascii="Calibri" w:hAnsi="Calibri"/>
        </w:rPr>
        <w:t xml:space="preserve">, sprememba seznama storitev 15.26 pa od 1. 6. 2023 dalje. </w:t>
      </w:r>
      <w:r w:rsidRPr="006F507B">
        <w:rPr>
          <w:rFonts w:ascii="Calibri" w:hAnsi="Calibri"/>
        </w:rPr>
        <w:t>Zavod bo spremembo</w:t>
      </w:r>
      <w:r w:rsidR="003A4359">
        <w:rPr>
          <w:rFonts w:ascii="Calibri" w:hAnsi="Calibri"/>
        </w:rPr>
        <w:t xml:space="preserve"> uteži</w:t>
      </w:r>
      <w:r w:rsidRPr="006F507B">
        <w:rPr>
          <w:rFonts w:ascii="Calibri" w:hAnsi="Calibri"/>
        </w:rPr>
        <w:t xml:space="preserve"> za zaključene obravnave v obdobju od  1. 1. 2023 do 3</w:t>
      </w:r>
      <w:r w:rsidR="003A4359">
        <w:rPr>
          <w:rFonts w:ascii="Calibri" w:hAnsi="Calibri"/>
        </w:rPr>
        <w:t>1. 5</w:t>
      </w:r>
      <w:r w:rsidRPr="006F507B">
        <w:rPr>
          <w:rFonts w:ascii="Calibri" w:hAnsi="Calibri"/>
        </w:rPr>
        <w:t xml:space="preserve">. 2023 </w:t>
      </w:r>
      <w:r w:rsidR="003A4359" w:rsidRPr="006F507B">
        <w:rPr>
          <w:rFonts w:ascii="Calibri" w:hAnsi="Calibri"/>
        </w:rPr>
        <w:t>upošteval</w:t>
      </w:r>
      <w:r w:rsidR="003A4359" w:rsidRPr="006F507B">
        <w:rPr>
          <w:rFonts w:ascii="Calibri" w:hAnsi="Calibri"/>
        </w:rPr>
        <w:t xml:space="preserve"> </w:t>
      </w:r>
      <w:r w:rsidRPr="006F507B">
        <w:rPr>
          <w:rFonts w:ascii="Calibri" w:hAnsi="Calibri"/>
        </w:rPr>
        <w:t xml:space="preserve">pri obračunu, zato stornacija </w:t>
      </w:r>
      <w:r w:rsidR="003A4359">
        <w:rPr>
          <w:rFonts w:ascii="Calibri" w:hAnsi="Calibri"/>
        </w:rPr>
        <w:t>že poslanih</w:t>
      </w:r>
      <w:r w:rsidRPr="006F507B">
        <w:rPr>
          <w:rFonts w:ascii="Calibri" w:hAnsi="Calibri"/>
        </w:rPr>
        <w:t xml:space="preserve"> obravnav ni potrebna.</w:t>
      </w:r>
    </w:p>
    <w:p w14:paraId="399C147C" w14:textId="77777777" w:rsidR="00D43946" w:rsidRPr="003A760D" w:rsidRDefault="00D43946" w:rsidP="00D43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33CAA147" w14:textId="77777777" w:rsidR="00D43946" w:rsidRPr="003A760D" w:rsidRDefault="00D43946" w:rsidP="00D43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A760D">
        <w:rPr>
          <w:rFonts w:ascii="Calibri" w:hAnsi="Calibri"/>
        </w:rPr>
        <w:t>Kontaktna oseba za vsebinska vprašanja:</w:t>
      </w:r>
    </w:p>
    <w:p w14:paraId="2DD58F49" w14:textId="77777777" w:rsidR="00D43946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FF0A09">
        <w:rPr>
          <w:rFonts w:ascii="Calibri" w:eastAsia="Times New Roman" w:hAnsi="Calibri" w:cs="Arial"/>
          <w:lang w:eastAsia="sl-SI"/>
        </w:rPr>
        <w:t xml:space="preserve">Karmen Grom Kenk </w:t>
      </w:r>
      <w:r w:rsidRPr="00FF0A09">
        <w:rPr>
          <w:rFonts w:ascii="Calibri" w:eastAsia="Times New Roman" w:hAnsi="Calibri" w:cs="Calibri"/>
          <w:lang w:eastAsia="sl-SI"/>
        </w:rPr>
        <w:t>(</w:t>
      </w:r>
      <w:hyperlink r:id="rId10" w:history="1">
        <w:r w:rsidRPr="00FF0A09">
          <w:rPr>
            <w:rFonts w:ascii="Calibri" w:eastAsia="Times New Roman" w:hAnsi="Calibri" w:cs="Calibri"/>
            <w:color w:val="0563C1" w:themeColor="hyperlink"/>
            <w:u w:val="single"/>
            <w:lang w:eastAsia="sl-SI"/>
          </w:rPr>
          <w:t>karmen.grom-kenk@zzzs.si</w:t>
        </w:r>
      </w:hyperlink>
      <w:r w:rsidRPr="00FF0A09">
        <w:rPr>
          <w:rFonts w:ascii="Calibri" w:eastAsia="Times New Roman" w:hAnsi="Calibri" w:cs="Calibri"/>
          <w:lang w:eastAsia="sl-SI"/>
        </w:rPr>
        <w:t>; 01/30-77-340)</w:t>
      </w:r>
    </w:p>
    <w:p w14:paraId="050EB3CA" w14:textId="77777777" w:rsidR="00D43946" w:rsidRPr="00A81EB8" w:rsidRDefault="00D43946" w:rsidP="00D4394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4C3B7C71" w14:textId="77777777" w:rsidR="00AE61B4" w:rsidRPr="00AE61B4" w:rsidRDefault="00AE61B4" w:rsidP="00AE61B4">
      <w:pPr>
        <w:widowControl w:val="0"/>
        <w:suppressAutoHyphens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144D62DE" w14:textId="59E01C72" w:rsidR="00A04CD0" w:rsidRPr="00A04CD0" w:rsidRDefault="00A04CD0" w:rsidP="00A04CD0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5" w:name="_Toc135648847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Vstopne triažne točke</w:t>
      </w:r>
      <w:r w:rsidR="0080782F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– storitev E0092 s 1. 2. 2023</w:t>
      </w:r>
      <w:bookmarkEnd w:id="5"/>
    </w:p>
    <w:p w14:paraId="39F1F2FB" w14:textId="565D78D3" w:rsidR="00A04CD0" w:rsidRPr="00A04CD0" w:rsidRDefault="00A04CD0" w:rsidP="00A04C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1A09CC9B" w14:textId="77777777" w:rsidR="00A04CD0" w:rsidRPr="003A760D" w:rsidRDefault="00A04CD0" w:rsidP="00A04CD0">
      <w:pPr>
        <w:spacing w:after="0" w:line="240" w:lineRule="auto"/>
        <w:jc w:val="both"/>
      </w:pPr>
      <w:r>
        <w:rPr>
          <w:rFonts w:ascii="Calibri" w:hAnsi="Calibri"/>
          <w:i/>
          <w:color w:val="0070C0"/>
        </w:rPr>
        <w:t xml:space="preserve">Vsem bolnišnicam, </w:t>
      </w:r>
      <w:r w:rsidRPr="009809B4">
        <w:rPr>
          <w:rFonts w:ascii="Calibri" w:hAnsi="Calibri"/>
          <w:i/>
          <w:color w:val="0070C0"/>
        </w:rPr>
        <w:t>Železnišk</w:t>
      </w:r>
      <w:r>
        <w:rPr>
          <w:rFonts w:ascii="Calibri" w:hAnsi="Calibri"/>
          <w:i/>
          <w:color w:val="0070C0"/>
        </w:rPr>
        <w:t>emu</w:t>
      </w:r>
      <w:r w:rsidRPr="009809B4">
        <w:rPr>
          <w:rFonts w:ascii="Calibri" w:hAnsi="Calibri"/>
          <w:i/>
          <w:color w:val="0070C0"/>
        </w:rPr>
        <w:t xml:space="preserve"> zdravstven</w:t>
      </w:r>
      <w:r>
        <w:rPr>
          <w:rFonts w:ascii="Calibri" w:hAnsi="Calibri"/>
          <w:i/>
          <w:color w:val="0070C0"/>
        </w:rPr>
        <w:t>emu</w:t>
      </w:r>
      <w:r w:rsidRPr="009809B4">
        <w:rPr>
          <w:rFonts w:ascii="Calibri" w:hAnsi="Calibri"/>
          <w:i/>
          <w:color w:val="0070C0"/>
        </w:rPr>
        <w:t xml:space="preserve"> dom</w:t>
      </w:r>
      <w:r>
        <w:rPr>
          <w:rFonts w:ascii="Calibri" w:hAnsi="Calibri"/>
          <w:i/>
          <w:color w:val="0070C0"/>
        </w:rPr>
        <w:t>u</w:t>
      </w:r>
      <w:r w:rsidRPr="009809B4">
        <w:rPr>
          <w:rFonts w:ascii="Calibri" w:hAnsi="Calibri"/>
          <w:i/>
          <w:color w:val="0070C0"/>
        </w:rPr>
        <w:t xml:space="preserve"> Ljubljana</w:t>
      </w:r>
      <w:r>
        <w:rPr>
          <w:rFonts w:ascii="Calibri" w:hAnsi="Calibri"/>
          <w:i/>
          <w:color w:val="0070C0"/>
        </w:rPr>
        <w:t xml:space="preserve"> in Zdravstvenemu domu za študente univerze v Ljubljani</w:t>
      </w:r>
    </w:p>
    <w:p w14:paraId="04FB2570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31D7E5F9" w14:textId="77777777" w:rsidR="00A04CD0" w:rsidRPr="003A760D" w:rsidRDefault="00A04CD0" w:rsidP="00A04CD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3A760D">
        <w:rPr>
          <w:rFonts w:ascii="Calibri" w:hAnsi="Calibri" w:cs="Calibri"/>
          <w:b/>
          <w:bCs/>
        </w:rPr>
        <w:t>Povzetek vsebine</w:t>
      </w:r>
    </w:p>
    <w:p w14:paraId="429E4258" w14:textId="77777777" w:rsidR="00A04CD0" w:rsidRPr="003A760D" w:rsidRDefault="00A04CD0" w:rsidP="00A04CD0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2B3A3FF" w14:textId="11D5738D" w:rsidR="00DA28D8" w:rsidRDefault="006D60CD" w:rsidP="00A04CD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Skladno z Uredbo </w:t>
      </w:r>
      <w:r w:rsidRPr="0039582B">
        <w:rPr>
          <w:rFonts w:ascii="Calibri" w:eastAsia="Calibri" w:hAnsi="Calibri" w:cs="Arial"/>
          <w:color w:val="000000"/>
        </w:rPr>
        <w:t xml:space="preserve">o programih storitev OZZ 2023 </w:t>
      </w:r>
      <w:r>
        <w:rPr>
          <w:rFonts w:ascii="Calibri" w:eastAsia="Calibri" w:hAnsi="Calibri" w:cs="Arial"/>
          <w:color w:val="000000"/>
        </w:rPr>
        <w:t xml:space="preserve">je </w:t>
      </w:r>
      <w:r w:rsidR="00DA28D8">
        <w:rPr>
          <w:rFonts w:ascii="Calibri" w:eastAsia="Calibri" w:hAnsi="Calibri" w:cs="Arial"/>
          <w:color w:val="000000"/>
        </w:rPr>
        <w:t>Z</w:t>
      </w:r>
      <w:r>
        <w:rPr>
          <w:rFonts w:ascii="Calibri" w:eastAsia="Calibri" w:hAnsi="Calibri" w:cs="Arial"/>
          <w:color w:val="000000"/>
        </w:rPr>
        <w:t>avod z</w:t>
      </w:r>
      <w:r w:rsidR="00DA28D8">
        <w:rPr>
          <w:rFonts w:ascii="Calibri" w:eastAsia="Calibri" w:hAnsi="Calibri" w:cs="Arial"/>
          <w:color w:val="000000"/>
        </w:rPr>
        <w:t xml:space="preserve"> Okrožnico ZAE 4/23 točka 1</w:t>
      </w:r>
      <w:r>
        <w:rPr>
          <w:rFonts w:ascii="Calibri" w:eastAsia="Calibri" w:hAnsi="Calibri" w:cs="Arial"/>
          <w:color w:val="000000"/>
        </w:rPr>
        <w:t xml:space="preserve"> s 1. 2. 2023 ukinil financiranje vstopnih triažnih točk, zato smo </w:t>
      </w:r>
      <w:r w:rsidR="00432B59">
        <w:rPr>
          <w:rFonts w:ascii="Calibri" w:eastAsia="Calibri" w:hAnsi="Calibri" w:cs="Arial"/>
          <w:color w:val="000000"/>
        </w:rPr>
        <w:t xml:space="preserve">z navedeno okrožnico s 1. 2. 2023 </w:t>
      </w:r>
      <w:r>
        <w:rPr>
          <w:rFonts w:ascii="Calibri" w:eastAsia="Calibri" w:hAnsi="Calibri" w:cs="Arial"/>
          <w:color w:val="000000"/>
        </w:rPr>
        <w:t>ukinili vse podatke v šifrantih in povezovalnih šifrantih.</w:t>
      </w:r>
    </w:p>
    <w:p w14:paraId="7D225928" w14:textId="29C358E8" w:rsidR="006D60CD" w:rsidRDefault="006D60CD" w:rsidP="00A04CD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6367C0C" w14:textId="66390252" w:rsidR="006D60CD" w:rsidRDefault="006D60CD" w:rsidP="00A04CD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Zaradi izvedbe obračuna mora biti storitev E0092 »</w:t>
      </w:r>
      <w:r w:rsidR="00432B59" w:rsidRPr="00432B59">
        <w:rPr>
          <w:rFonts w:ascii="Calibri" w:eastAsia="Calibri" w:hAnsi="Calibri" w:cs="Arial"/>
          <w:color w:val="000000"/>
        </w:rPr>
        <w:t>Obračun, poračun</w:t>
      </w:r>
      <w:r>
        <w:rPr>
          <w:rFonts w:ascii="Calibri" w:eastAsia="Calibri" w:hAnsi="Calibri" w:cs="Arial"/>
          <w:color w:val="000000"/>
        </w:rPr>
        <w:t xml:space="preserve">« odprta vse leto 2023, zato </w:t>
      </w:r>
      <w:r w:rsidR="00432B59">
        <w:rPr>
          <w:rFonts w:ascii="Calibri" w:eastAsia="Calibri" w:hAnsi="Calibri" w:cs="Arial"/>
          <w:color w:val="000000"/>
        </w:rPr>
        <w:t>ponovno odpiramo podatke v šifrantih.</w:t>
      </w:r>
    </w:p>
    <w:p w14:paraId="35AD99F5" w14:textId="77777777" w:rsidR="00A04CD0" w:rsidRPr="003A760D" w:rsidRDefault="00A04CD0" w:rsidP="00A04CD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F81090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3A760D">
        <w:rPr>
          <w:rFonts w:ascii="Calibri" w:hAnsi="Calibri" w:cs="Calibri"/>
          <w:b/>
          <w:bCs/>
          <w:color w:val="000000"/>
        </w:rPr>
        <w:t>Navodilo za obračun</w:t>
      </w:r>
    </w:p>
    <w:p w14:paraId="4AA045DE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1A54286" w14:textId="77777777" w:rsidR="00A04CD0" w:rsidRPr="003A760D" w:rsidRDefault="00A04CD0" w:rsidP="00A04CD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3A760D">
        <w:rPr>
          <w:rFonts w:ascii="Calibri" w:eastAsia="Times New Roman" w:hAnsi="Calibri" w:cs="Calibri"/>
          <w:lang w:eastAsia="sl-SI"/>
        </w:rPr>
        <w:t>Skladno z navedenim dopolnjujemo naslednje šifrante (označeno s krepko pisavo):</w:t>
      </w:r>
    </w:p>
    <w:p w14:paraId="3BF5BF3C" w14:textId="77777777" w:rsidR="00A04CD0" w:rsidRPr="003A760D" w:rsidRDefault="00A04CD0" w:rsidP="00A04CD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2456FD4" w14:textId="77777777" w:rsidR="00A04CD0" w:rsidRPr="003A760D" w:rsidRDefault="00A04CD0" w:rsidP="00A04CD0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 K1 »Vrste zdravstvene dejavnosti in storitve za obračun:</w:t>
      </w:r>
    </w:p>
    <w:p w14:paraId="2CDFE604" w14:textId="77777777" w:rsidR="00A04CD0" w:rsidRPr="003A760D" w:rsidRDefault="00A04CD0" w:rsidP="00A04CD0">
      <w:pPr>
        <w:widowControl w:val="0"/>
        <w:suppressAutoHyphens/>
        <w:spacing w:after="0" w:line="240" w:lineRule="auto"/>
        <w:ind w:left="714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560"/>
        <w:gridCol w:w="453"/>
        <w:gridCol w:w="4641"/>
        <w:gridCol w:w="2887"/>
      </w:tblGrid>
      <w:tr w:rsidR="00A04CD0" w:rsidRPr="003A760D" w14:paraId="7712F330" w14:textId="77777777" w:rsidTr="00A04CD0">
        <w:trPr>
          <w:trHeight w:hRule="exact" w:val="507"/>
        </w:trPr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04AA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3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C61A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CD7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Šifrant K1.1 - Dovoljene storitve obračuna po podvrstah zdravstvene dejavnosti</w:t>
            </w:r>
          </w:p>
        </w:tc>
      </w:tr>
      <w:tr w:rsidR="00A04CD0" w:rsidRPr="003A760D" w14:paraId="7912417E" w14:textId="77777777" w:rsidTr="00A04CD0">
        <w:trPr>
          <w:trHeight w:hRule="exact" w:val="266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6589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FE3B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4DF85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Javno zdravje v specialistični zunajbolnišnični dejavnosti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D319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0B1F1BF3" w14:textId="77777777" w:rsidTr="00A04CD0">
        <w:trPr>
          <w:trHeight w:hRule="exact" w:val="284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6FB1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A8F3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4F56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A8702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3FCE" w14:textId="7493C0B8" w:rsidR="00A04CD0" w:rsidRPr="00A04CD0" w:rsidRDefault="00A04CD0" w:rsidP="00BF74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D0">
              <w:rPr>
                <w:rFonts w:ascii="Calibri" w:hAnsi="Calibri" w:cs="Calibri"/>
                <w:b/>
                <w:bCs/>
                <w:sz w:val="20"/>
                <w:szCs w:val="20"/>
              </w:rPr>
              <w:t>E0092</w:t>
            </w:r>
          </w:p>
          <w:p w14:paraId="377E80C7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438001F5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hAnsi="Calibri" w:cs="Helv"/>
          <w:color w:val="000000"/>
        </w:rPr>
      </w:pPr>
    </w:p>
    <w:p w14:paraId="20D7F530" w14:textId="77777777" w:rsidR="00A04CD0" w:rsidRPr="003A760D" w:rsidRDefault="00A04CD0" w:rsidP="00A04CD0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</w:t>
      </w:r>
      <w:r w:rsidRPr="003A760D">
        <w:rPr>
          <w:rFonts w:ascii="Calibri" w:hAnsi="Calibri" w:cs="Helv"/>
          <w:color w:val="000000"/>
        </w:rPr>
        <w:t xml:space="preserve"> K2 »VZD s storitvami glede na vrsto dokumenta po strukturi«:</w:t>
      </w:r>
    </w:p>
    <w:p w14:paraId="17E5FC78" w14:textId="77777777" w:rsidR="00A04CD0" w:rsidRPr="003A760D" w:rsidRDefault="00A04CD0" w:rsidP="00A04CD0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59"/>
        <w:gridCol w:w="457"/>
        <w:gridCol w:w="4740"/>
        <w:gridCol w:w="2887"/>
      </w:tblGrid>
      <w:tr w:rsidR="00A04CD0" w:rsidRPr="003A760D" w14:paraId="7DDF2541" w14:textId="77777777" w:rsidTr="00A04CD0">
        <w:trPr>
          <w:trHeight w:hRule="exact" w:val="564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4CC0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3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54B1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65A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VD 13-14 PGO</w:t>
            </w:r>
          </w:p>
        </w:tc>
      </w:tr>
      <w:tr w:rsidR="00A04CD0" w:rsidRPr="003A760D" w14:paraId="10EB2E5C" w14:textId="77777777" w:rsidTr="00A04CD0">
        <w:trPr>
          <w:trHeight w:hRule="exact" w:val="284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2AFE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4031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839F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Javno zdravje v specialistični zunajbolnišnični dejavnosti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349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753DDC83" w14:textId="77777777" w:rsidTr="00A04CD0">
        <w:trPr>
          <w:trHeight w:hRule="exact" w:val="28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4A5A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2AC0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C93D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7F990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8F7" w14:textId="77777777" w:rsidR="00A04CD0" w:rsidRPr="00A04CD0" w:rsidRDefault="00A04CD0" w:rsidP="00BF74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4CD0">
              <w:rPr>
                <w:rFonts w:ascii="Calibri" w:hAnsi="Calibri" w:cs="Calibri"/>
                <w:b/>
                <w:bCs/>
                <w:sz w:val="20"/>
                <w:szCs w:val="20"/>
              </w:rPr>
              <w:t>E0092</w:t>
            </w:r>
          </w:p>
        </w:tc>
      </w:tr>
    </w:tbl>
    <w:p w14:paraId="61418D6A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ADB1737" w14:textId="77777777" w:rsidR="00A04CD0" w:rsidRPr="003A760D" w:rsidRDefault="00A04CD0" w:rsidP="00A04CD0">
      <w:pPr>
        <w:widowControl w:val="0"/>
        <w:numPr>
          <w:ilvl w:val="0"/>
          <w:numId w:val="24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</w:t>
      </w:r>
      <w:r w:rsidRPr="003A760D">
        <w:rPr>
          <w:rFonts w:ascii="Calibri" w:hAnsi="Calibri" w:cs="Helv"/>
          <w:color w:val="000000"/>
        </w:rPr>
        <w:t xml:space="preserve"> K4 »Parametri za kontrolo podatkov po vrstah in podvrstah zdravstvene dejavnosti«:</w:t>
      </w:r>
    </w:p>
    <w:p w14:paraId="32166E8D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5"/>
        <w:gridCol w:w="399"/>
        <w:gridCol w:w="1091"/>
        <w:gridCol w:w="884"/>
        <w:gridCol w:w="1029"/>
        <w:gridCol w:w="1177"/>
        <w:gridCol w:w="705"/>
        <w:gridCol w:w="705"/>
        <w:gridCol w:w="647"/>
        <w:gridCol w:w="856"/>
        <w:gridCol w:w="756"/>
      </w:tblGrid>
      <w:tr w:rsidR="00A04CD0" w:rsidRPr="003A760D" w14:paraId="26710AEA" w14:textId="77777777" w:rsidTr="00BF7423">
        <w:trPr>
          <w:trHeight w:val="130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B56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29FC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E26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Obračunavanje storitev, ki jih ni v šifrantu ZZZS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630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Obračunavanje povečanega št. točk za izvedbo storitev duševno prizadetim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39F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Obračunavanje povečanega št. točk oz. povečane cene za izvedbo storitev ob nedeljah in praznikih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FD7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RIZDDZ številke delavca na strukturi Obravnava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64B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sklopa podatkov Seznam oseb na PGO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742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Trajanje obravnave je lahko daljše od 1 dne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AEB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datuma konca predhodne obravnave na strukturi Obravnava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7FA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statusa večdnevne obravnave na strukturi Obravnava</w:t>
            </w:r>
          </w:p>
        </w:tc>
      </w:tr>
      <w:tr w:rsidR="00A04CD0" w:rsidRPr="003A760D" w14:paraId="22CB52C0" w14:textId="77777777" w:rsidTr="00BF7423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70D3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bookmarkStart w:id="6" w:name="_Hlk115256977"/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Q86.220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22E0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Theme="minorEastAsia" w:cstheme="minorHAnsi"/>
                <w:sz w:val="14"/>
                <w:szCs w:val="14"/>
                <w:lang w:eastAsia="sl-SI"/>
              </w:rPr>
              <w:t>Specialistična zunajbolnišnična zdravstvena dejavnost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525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801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6DA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F6E3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5FAB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110A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9862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2B7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A04CD0" w:rsidRPr="003A760D" w14:paraId="3CB350A7" w14:textId="77777777" w:rsidTr="00BF7423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46C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7AC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sz w:val="14"/>
                <w:szCs w:val="14"/>
                <w:lang w:eastAsia="sl-SI"/>
              </w:rPr>
              <w:t>246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5D0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sz w:val="14"/>
                <w:szCs w:val="14"/>
                <w:lang w:eastAsia="sl-SI"/>
              </w:rPr>
              <w:t>Javno zdravje v specialistični zunajbolnišnični dejavnosti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EB9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D0BC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989C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6A1F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BBE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D8F9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B986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730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</w:tr>
      <w:bookmarkEnd w:id="6"/>
      <w:tr w:rsidR="00A04CD0" w:rsidRPr="003A760D" w14:paraId="7D694633" w14:textId="77777777" w:rsidTr="00BF7423">
        <w:trPr>
          <w:trHeight w:val="26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E5F1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2F22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0A5D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bCs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bCs/>
                <w:sz w:val="14"/>
                <w:szCs w:val="14"/>
                <w:lang w:eastAsia="sl-SI"/>
              </w:rPr>
              <w:t>260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518C" w14:textId="77777777" w:rsidR="00A04CD0" w:rsidRPr="00F74E42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bCs/>
                <w:sz w:val="14"/>
                <w:szCs w:val="14"/>
                <w:lang w:eastAsia="sl-SI"/>
              </w:rPr>
            </w:pPr>
            <w:r w:rsidRPr="00F74E42">
              <w:rPr>
                <w:rFonts w:cstheme="minorHAnsi"/>
                <w:bCs/>
                <w:color w:val="000000"/>
                <w:sz w:val="14"/>
                <w:szCs w:val="14"/>
              </w:rPr>
              <w:t>Javno zdravje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57CE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BB3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0EE7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9BB2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517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03DB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61B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2B6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</w:tr>
    </w:tbl>
    <w:p w14:paraId="4AB71CEB" w14:textId="77777777" w:rsidR="00A04CD0" w:rsidRPr="003A760D" w:rsidRDefault="00A04CD0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67"/>
        <w:gridCol w:w="369"/>
        <w:gridCol w:w="1019"/>
        <w:gridCol w:w="869"/>
        <w:gridCol w:w="869"/>
        <w:gridCol w:w="790"/>
        <w:gridCol w:w="1014"/>
        <w:gridCol w:w="786"/>
        <w:gridCol w:w="957"/>
        <w:gridCol w:w="805"/>
        <w:gridCol w:w="871"/>
      </w:tblGrid>
      <w:tr w:rsidR="00A04CD0" w:rsidRPr="003A760D" w14:paraId="26D11121" w14:textId="77777777" w:rsidTr="00BF7423">
        <w:trPr>
          <w:trHeight w:val="190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017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71B3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6DF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doplačila osebe za namestitev na strukturi Obravnava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507F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razloga obravnave na strukturi PGO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68E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datuma opravljene storitve na strukturi PGO za storitve tipa EME in PRI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4D4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podatka "evidenčni dokument = 1" za vse razloge obravnav na strukturi "Obravnava"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82E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podatka Status obravnave istega tipa = 2 na strukturi SBD obravnava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B45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podatkov o listinah in diagnozah pri obravnavi na strukturi Obravnava in listinah na strukturi SBD obravnava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8BE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Navajanje podatkov o diagnozah pri storitvi na strukturi Obravnava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E9B2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Obveznost navajanja Oznake podlage za obravnavo 1 - zdravstvena listina</w:t>
            </w:r>
          </w:p>
        </w:tc>
      </w:tr>
      <w:tr w:rsidR="00A04CD0" w:rsidRPr="003A760D" w14:paraId="0442D052" w14:textId="77777777" w:rsidTr="00BF7423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F30F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Theme="minorEastAsia" w:cstheme="minorHAnsi"/>
                <w:sz w:val="14"/>
                <w:szCs w:val="14"/>
                <w:lang w:eastAsia="sl-SI"/>
              </w:rPr>
              <w:t>Q86.220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58A6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Theme="minorEastAsia" w:cstheme="minorHAnsi"/>
                <w:sz w:val="14"/>
                <w:szCs w:val="14"/>
                <w:lang w:eastAsia="sl-SI"/>
              </w:rPr>
              <w:t>Specialistična zunajbolnišnična zdravstvena dejavnost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5BF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821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F85D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E17A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C90E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FB8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0352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3395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A04CD0" w:rsidRPr="003A760D" w14:paraId="7B685DC1" w14:textId="77777777" w:rsidTr="00BF7423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9091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B5B0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sz w:val="14"/>
                <w:szCs w:val="14"/>
                <w:lang w:eastAsia="sl-SI"/>
              </w:rPr>
              <w:t>246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E75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sz w:val="14"/>
                <w:szCs w:val="14"/>
                <w:lang w:eastAsia="sl-SI"/>
              </w:rPr>
              <w:t>Javno zdravje v specialistični zunajbolnišnični dejavnosti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E6DA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0372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CD7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AD6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386B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2EF4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F51A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68B3D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A04CD0" w:rsidRPr="003A760D" w14:paraId="301A1E95" w14:textId="77777777" w:rsidTr="00BF7423">
        <w:trPr>
          <w:trHeight w:val="26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A798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51E8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E31C" w14:textId="77777777" w:rsidR="00A04CD0" w:rsidRPr="003A760D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bCs/>
                <w:sz w:val="14"/>
                <w:szCs w:val="14"/>
                <w:lang w:eastAsia="sl-SI"/>
              </w:rPr>
            </w:pPr>
            <w:r w:rsidRPr="003A760D">
              <w:rPr>
                <w:rFonts w:eastAsia="Times New Roman" w:cstheme="minorHAnsi"/>
                <w:bCs/>
                <w:sz w:val="14"/>
                <w:szCs w:val="14"/>
                <w:lang w:eastAsia="sl-SI"/>
              </w:rPr>
              <w:t>260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7AFF" w14:textId="77777777" w:rsidR="00A04CD0" w:rsidRPr="00F74E42" w:rsidRDefault="00A04CD0" w:rsidP="00BF7423">
            <w:pPr>
              <w:spacing w:after="0" w:line="240" w:lineRule="auto"/>
              <w:rPr>
                <w:rFonts w:ascii="Calibri" w:eastAsia="Times New Roman" w:hAnsi="Calibri" w:cs="Calibri"/>
                <w:bCs/>
                <w:sz w:val="14"/>
                <w:szCs w:val="14"/>
                <w:lang w:eastAsia="sl-SI"/>
              </w:rPr>
            </w:pPr>
            <w:r w:rsidRPr="00F74E42">
              <w:rPr>
                <w:rFonts w:cstheme="minorHAnsi"/>
                <w:bCs/>
                <w:color w:val="000000"/>
                <w:sz w:val="14"/>
                <w:szCs w:val="14"/>
              </w:rPr>
              <w:t>Javno zdravje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999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5EEE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9D1C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468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F93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36B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419F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2AC1" w14:textId="77777777" w:rsidR="00A04CD0" w:rsidRPr="00DA28D8" w:rsidRDefault="00A04CD0" w:rsidP="00BF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DA28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</w:tr>
    </w:tbl>
    <w:p w14:paraId="75140654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C43BA4E" w14:textId="77777777" w:rsidR="00A04CD0" w:rsidRPr="003A760D" w:rsidRDefault="00A04CD0" w:rsidP="00A04CD0">
      <w:pPr>
        <w:widowControl w:val="0"/>
        <w:numPr>
          <w:ilvl w:val="0"/>
          <w:numId w:val="24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</w:t>
      </w:r>
      <w:r w:rsidRPr="003A760D">
        <w:rPr>
          <w:rFonts w:ascii="Calibri" w:hAnsi="Calibri" w:cs="Helv"/>
          <w:color w:val="000000"/>
        </w:rPr>
        <w:t xml:space="preserve"> K5.1 »Podvrsta s stopnjo DDV«:</w:t>
      </w:r>
    </w:p>
    <w:p w14:paraId="6D4F0A7D" w14:textId="77777777" w:rsidR="00A04CD0" w:rsidRPr="003A760D" w:rsidRDefault="00A04CD0" w:rsidP="00A04CD0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45"/>
        <w:gridCol w:w="468"/>
        <w:gridCol w:w="3933"/>
        <w:gridCol w:w="1120"/>
        <w:gridCol w:w="1064"/>
        <w:gridCol w:w="1064"/>
      </w:tblGrid>
      <w:tr w:rsidR="00A04CD0" w:rsidRPr="003A760D" w14:paraId="34F2E2ED" w14:textId="77777777" w:rsidTr="00BF7423">
        <w:trPr>
          <w:trHeight w:hRule="exact" w:val="6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5A8B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4729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C05F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0 % Oproščeno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6B322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Obdavčeno 9,5 %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0927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Obdavčeno 22 %</w:t>
            </w:r>
          </w:p>
        </w:tc>
      </w:tr>
      <w:tr w:rsidR="00A04CD0" w:rsidRPr="003A760D" w14:paraId="6AAF072D" w14:textId="77777777" w:rsidTr="00BF7423">
        <w:trPr>
          <w:trHeight w:hRule="exact" w:val="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C0E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1CBF" w14:textId="77777777" w:rsidR="00A04CD0" w:rsidRPr="003A760D" w:rsidRDefault="00A04CD0" w:rsidP="00BF74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84C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 xml:space="preserve">Javno zdravje v specialistični zunajbolnišnični dejavnosti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4E71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0EEE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9E0C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42DD13C9" w14:textId="77777777" w:rsidTr="00BF7423">
        <w:trPr>
          <w:trHeight w:hRule="exact" w:val="2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ADD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113F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303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6B9C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6317C" w14:textId="77777777" w:rsidR="00A04CD0" w:rsidRPr="00DA28D8" w:rsidRDefault="00A04CD0" w:rsidP="00BF74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28D8">
              <w:rPr>
                <w:rFonts w:ascii="Calibri" w:hAnsi="Calibri" w:cs="Calibri"/>
                <w:b/>
                <w:bCs/>
                <w:sz w:val="20"/>
                <w:szCs w:val="20"/>
              </w:rPr>
              <w:t>0 %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55EE1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 w:rsidRPr="003A760D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A8E4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 w:rsidRPr="003A760D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/</w:t>
            </w:r>
          </w:p>
        </w:tc>
      </w:tr>
    </w:tbl>
    <w:p w14:paraId="364CE182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E7409C0" w14:textId="77777777" w:rsidR="00A04CD0" w:rsidRPr="003A760D" w:rsidRDefault="00A04CD0" w:rsidP="00A04CD0">
      <w:pPr>
        <w:widowControl w:val="0"/>
        <w:numPr>
          <w:ilvl w:val="0"/>
          <w:numId w:val="24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</w:t>
      </w:r>
      <w:r w:rsidRPr="003A760D">
        <w:rPr>
          <w:rFonts w:ascii="Calibri" w:hAnsi="Calibri" w:cs="Helv"/>
          <w:color w:val="000000"/>
        </w:rPr>
        <w:t xml:space="preserve"> K6 »Avansirane, neavansirane vrste in podvrste zdravstvene dejavnosti«:</w:t>
      </w:r>
    </w:p>
    <w:p w14:paraId="04A6D635" w14:textId="77777777" w:rsidR="00A04CD0" w:rsidRPr="003A760D" w:rsidRDefault="00A04CD0" w:rsidP="00A04CD0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588"/>
        <w:gridCol w:w="446"/>
        <w:gridCol w:w="5007"/>
        <w:gridCol w:w="2493"/>
      </w:tblGrid>
      <w:tr w:rsidR="00A04CD0" w:rsidRPr="003A760D" w14:paraId="204C2821" w14:textId="77777777" w:rsidTr="00BF7423">
        <w:trPr>
          <w:trHeight w:hRule="exact" w:val="106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F5C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176C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839E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Oznaka za avansiranje:</w:t>
            </w:r>
            <w:r w:rsidRPr="003A760D">
              <w:rPr>
                <w:rFonts w:ascii="Calibri" w:hAnsi="Calibri" w:cs="Calibri"/>
                <w:sz w:val="20"/>
                <w:szCs w:val="20"/>
              </w:rPr>
              <w:br/>
              <w:t>1 – avansirana,</w:t>
            </w:r>
            <w:r w:rsidRPr="003A760D">
              <w:rPr>
                <w:rFonts w:ascii="Calibri" w:hAnsi="Calibri" w:cs="Calibri"/>
                <w:sz w:val="20"/>
                <w:szCs w:val="20"/>
              </w:rPr>
              <w:br/>
              <w:t>2 – neavansirana,</w:t>
            </w:r>
            <w:r w:rsidRPr="003A760D">
              <w:rPr>
                <w:rFonts w:ascii="Calibri" w:hAnsi="Calibri" w:cs="Calibri"/>
                <w:sz w:val="20"/>
                <w:szCs w:val="20"/>
              </w:rPr>
              <w:br/>
              <w:t>9 – neopredeljeno</w:t>
            </w:r>
          </w:p>
        </w:tc>
      </w:tr>
      <w:tr w:rsidR="00A04CD0" w:rsidRPr="003A760D" w14:paraId="09394ABF" w14:textId="77777777" w:rsidTr="00BF7423">
        <w:trPr>
          <w:trHeight w:hRule="exact" w:val="284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4AC3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ED57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9D58E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Javno zdravje v specialistični zunajbolnišnični dejavnosti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9636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4E613EEE" w14:textId="77777777" w:rsidTr="00BF7423">
        <w:trPr>
          <w:trHeight w:hRule="exact" w:val="284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2C8B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C250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4D9A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70548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A34" w14:textId="77777777" w:rsidR="00A04CD0" w:rsidRPr="00DA28D8" w:rsidRDefault="00A04CD0" w:rsidP="00BF74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28D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</w:tbl>
    <w:p w14:paraId="03B81BD6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9109F62" w14:textId="77777777" w:rsidR="00A04CD0" w:rsidRPr="003A760D" w:rsidRDefault="00A04CD0" w:rsidP="00A04CD0">
      <w:pPr>
        <w:widowControl w:val="0"/>
        <w:numPr>
          <w:ilvl w:val="0"/>
          <w:numId w:val="24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</w:t>
      </w:r>
      <w:r w:rsidRPr="003A760D">
        <w:rPr>
          <w:rFonts w:ascii="Calibri" w:hAnsi="Calibri" w:cs="Helv"/>
          <w:color w:val="000000"/>
        </w:rPr>
        <w:t xml:space="preserve"> K7 »Dovoljeni deleži doplačila po vrstah in podvrstah zdravstvene dejavnosti«:</w:t>
      </w:r>
    </w:p>
    <w:p w14:paraId="1DBF46C0" w14:textId="77777777" w:rsidR="00A04CD0" w:rsidRPr="003A760D" w:rsidRDefault="00A04CD0" w:rsidP="00A04CD0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588"/>
        <w:gridCol w:w="446"/>
        <w:gridCol w:w="5007"/>
        <w:gridCol w:w="2493"/>
      </w:tblGrid>
      <w:tr w:rsidR="00A04CD0" w:rsidRPr="003A760D" w14:paraId="0B0AD8BB" w14:textId="77777777" w:rsidTr="00BF7423">
        <w:trPr>
          <w:trHeight w:hRule="exact" w:val="51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E68D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E8EE7" w14:textId="77777777" w:rsidR="00A04CD0" w:rsidRPr="003A760D" w:rsidRDefault="00A04CD0" w:rsidP="00BF74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3266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60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  <w:r w:rsidRPr="003A760D">
              <w:rPr>
                <w:rFonts w:ascii="Calibri" w:hAnsi="Calibri" w:cs="Calibri"/>
                <w:sz w:val="20"/>
                <w:szCs w:val="20"/>
              </w:rPr>
              <w:t xml:space="preserve"> doplačila</w:t>
            </w:r>
          </w:p>
          <w:p w14:paraId="48233DE8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2C827BB8" w14:textId="77777777" w:rsidTr="00BF7423">
        <w:trPr>
          <w:trHeight w:hRule="exact" w:val="284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438B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FB85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DF6DC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 v specialistični zunajbolnišnični dejavnosti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BB8" w14:textId="77777777" w:rsidR="00A04CD0" w:rsidRPr="003A760D" w:rsidRDefault="00A04CD0" w:rsidP="00BF7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CD0" w:rsidRPr="003A760D" w14:paraId="112A1899" w14:textId="77777777" w:rsidTr="00BF7423">
        <w:trPr>
          <w:trHeight w:hRule="exact" w:val="28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0EA6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B0C1" w14:textId="77777777" w:rsidR="00A04CD0" w:rsidRPr="003A760D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834D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1FABD" w14:textId="77777777" w:rsidR="00A04CD0" w:rsidRPr="00F74E42" w:rsidRDefault="00A04CD0" w:rsidP="00BF7423">
            <w:pPr>
              <w:rPr>
                <w:rFonts w:ascii="Calibri" w:hAnsi="Calibri" w:cs="Calibri"/>
                <w:sz w:val="20"/>
                <w:szCs w:val="20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065F" w14:textId="41F552E8" w:rsidR="00A04CD0" w:rsidRPr="003A760D" w:rsidRDefault="00A04CD0" w:rsidP="00BF7423">
            <w:pPr>
              <w:jc w:val="center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DA28D8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14:paraId="16FE4DE5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4FF1964" w14:textId="77777777" w:rsidR="00A04CD0" w:rsidRPr="003A760D" w:rsidRDefault="00A04CD0" w:rsidP="00A04CD0">
      <w:pPr>
        <w:widowControl w:val="0"/>
        <w:numPr>
          <w:ilvl w:val="0"/>
          <w:numId w:val="24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3A760D">
        <w:rPr>
          <w:rFonts w:ascii="Calibri" w:eastAsia="Calibri" w:hAnsi="Calibri" w:cs="Calibri"/>
          <w:color w:val="000000"/>
        </w:rPr>
        <w:t>povezovalni šifrant 40.1 »Nivo kontrole zaposlitev zdravstvenih delavcev po vrstah in podvrstah zdravstvene dejavnosti«:</w:t>
      </w:r>
    </w:p>
    <w:p w14:paraId="397DEAF1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63"/>
        <w:gridCol w:w="583"/>
        <w:gridCol w:w="3677"/>
        <w:gridCol w:w="3818"/>
      </w:tblGrid>
      <w:tr w:rsidR="00A04CD0" w:rsidRPr="003A760D" w14:paraId="28BD13C6" w14:textId="77777777" w:rsidTr="00BF7423">
        <w:trPr>
          <w:trHeight w:val="154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02AF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t>Šifra zdr. dej.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2B2F6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7AD5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t>Nivo kontrole preverjanja zaposlitev*:</w:t>
            </w: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br/>
              <w:t>1 - Zaposlitev v okviru pogodbenega izvajalca oz. izvajalca nacionalnega razpisa,</w:t>
            </w: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br/>
              <w:t>2 - Zaposlitev v okviru pogodbenega izvajalca oz. izvajalca nacionalnega razpisa glede na skupine zaposlitev zdravstvenih delavcev,</w:t>
            </w:r>
            <w:r w:rsidRPr="003A760D">
              <w:rPr>
                <w:rFonts w:eastAsia="Times New Roman" w:cstheme="minorHAnsi"/>
                <w:sz w:val="18"/>
                <w:szCs w:val="18"/>
                <w:lang w:eastAsia="sl-SI"/>
              </w:rPr>
              <w:br/>
              <w:t>9 - Zaposlitev se ne preverja.</w:t>
            </w:r>
          </w:p>
        </w:tc>
      </w:tr>
      <w:tr w:rsidR="00A04CD0" w:rsidRPr="003A760D" w14:paraId="0927F851" w14:textId="77777777" w:rsidTr="00BF7423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56F6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Q86.220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18E0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Specialistična zunajbolnišnična zdravstvena dejavnost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0672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A04CD0" w:rsidRPr="003A760D" w14:paraId="2051A773" w14:textId="77777777" w:rsidTr="00BF7423">
        <w:trPr>
          <w:trHeight w:hRule="exact" w:val="5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F80B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95CF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2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21E8" w14:textId="77777777" w:rsidR="00A04CD0" w:rsidRPr="003A760D" w:rsidRDefault="00A04CD0" w:rsidP="00BF74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>Javno zdravje v specialistični zunajbolnišnični</w:t>
            </w:r>
          </w:p>
          <w:p w14:paraId="5ABA96D9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ascii="Calibri" w:hAnsi="Calibri" w:cs="Calibri"/>
                <w:sz w:val="20"/>
                <w:szCs w:val="20"/>
              </w:rPr>
              <w:t xml:space="preserve"> dejavnosti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D4E" w14:textId="77777777" w:rsidR="00A04CD0" w:rsidRPr="003A760D" w:rsidRDefault="00A04CD0" w:rsidP="00BF74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A04CD0" w:rsidRPr="003A760D" w14:paraId="38F8F0DA" w14:textId="77777777" w:rsidTr="00BF7423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9FA5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77FA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F31" w14:textId="77777777" w:rsidR="00A04CD0" w:rsidRPr="003A760D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A760D">
              <w:rPr>
                <w:rFonts w:eastAsia="Times New Roman" w:cstheme="minorHAnsi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537" w14:textId="77777777" w:rsidR="00A04CD0" w:rsidRPr="00F74E42" w:rsidRDefault="00A04CD0" w:rsidP="00BF74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74E42">
              <w:rPr>
                <w:rFonts w:ascii="Calibri" w:hAnsi="Calibri" w:cs="Calibri"/>
                <w:sz w:val="20"/>
                <w:szCs w:val="20"/>
              </w:rPr>
              <w:t>Javno zdravje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B1E" w14:textId="12C3281B" w:rsidR="00A04CD0" w:rsidRPr="00DA28D8" w:rsidRDefault="00A04CD0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DA28D8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9 </w:t>
            </w:r>
          </w:p>
        </w:tc>
      </w:tr>
    </w:tbl>
    <w:p w14:paraId="413CA274" w14:textId="77777777" w:rsidR="00A04CD0" w:rsidRPr="003A760D" w:rsidRDefault="00A04CD0" w:rsidP="00A04CD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E310C03" w14:textId="77777777" w:rsidR="00A04CD0" w:rsidRPr="003A760D" w:rsidRDefault="00A04CD0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A760D">
        <w:rPr>
          <w:rFonts w:ascii="Calibri" w:hAnsi="Calibri"/>
        </w:rPr>
        <w:t>Spremembe veljajo za storitve, opravljene od 1. 2. 2023 dalje.</w:t>
      </w:r>
    </w:p>
    <w:p w14:paraId="4AA6C10E" w14:textId="77777777" w:rsidR="00A04CD0" w:rsidRPr="003A760D" w:rsidRDefault="00A04CD0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7A491A7D" w14:textId="77777777" w:rsidR="00A04CD0" w:rsidRPr="003A760D" w:rsidRDefault="00A04CD0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A760D">
        <w:rPr>
          <w:rFonts w:ascii="Calibri" w:hAnsi="Calibri"/>
        </w:rPr>
        <w:t>Kontaktna oseba za vsebinska vprašanja:</w:t>
      </w:r>
    </w:p>
    <w:p w14:paraId="618A1688" w14:textId="341AE1E6" w:rsidR="00A04CD0" w:rsidRDefault="00A04CD0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A760D">
        <w:rPr>
          <w:rFonts w:ascii="Calibri" w:hAnsi="Calibri"/>
        </w:rPr>
        <w:t>Tatjana Černič Klobasa (</w:t>
      </w:r>
      <w:hyperlink r:id="rId11" w:history="1">
        <w:r w:rsidRPr="003A760D">
          <w:rPr>
            <w:color w:val="0563C1" w:themeColor="hyperlink"/>
            <w:u w:val="single"/>
          </w:rPr>
          <w:t>tatjana.cernic-klobasa@zzzs.si</w:t>
        </w:r>
      </w:hyperlink>
      <w:r w:rsidRPr="003A760D">
        <w:rPr>
          <w:rFonts w:ascii="Calibri" w:hAnsi="Calibri"/>
        </w:rPr>
        <w:t>; 01/30-77-262)</w:t>
      </w:r>
    </w:p>
    <w:p w14:paraId="065913CB" w14:textId="77777777" w:rsidR="00432B59" w:rsidRPr="003A760D" w:rsidRDefault="00432B59" w:rsidP="00A04C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5AF11BCE" w14:textId="77777777" w:rsidR="00A04CD0" w:rsidRPr="00A04CD0" w:rsidRDefault="00A04CD0" w:rsidP="00A04C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72FC5035" w14:textId="1C2858E5" w:rsidR="003C48E0" w:rsidRPr="00F7669E" w:rsidRDefault="003C48E0" w:rsidP="003C48E0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7" w:name="_Toc128479546"/>
      <w:bookmarkStart w:id="8" w:name="_Toc135648848"/>
      <w:r w:rsidRPr="00F7669E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Logopedske storitve – </w:t>
      </w:r>
      <w:r w:rsidR="005C2964">
        <w:rPr>
          <w:rFonts w:ascii="Calibri" w:eastAsia="Times New Roman" w:hAnsi="Calibri" w:cs="Calibri"/>
          <w:b/>
          <w:color w:val="0070C0"/>
          <w:sz w:val="28"/>
          <w:szCs w:val="28"/>
        </w:rPr>
        <w:t>dopolnitve</w:t>
      </w:r>
      <w:r w:rsidRPr="00F7669E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8"/>
          <w:szCs w:val="28"/>
        </w:rPr>
        <w:t>kadrovskega normativa pri nekaterih storitvah</w:t>
      </w:r>
      <w:r w:rsidRPr="00F7669E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s 1. 3. 2023</w:t>
      </w:r>
      <w:bookmarkEnd w:id="7"/>
      <w:bookmarkEnd w:id="8"/>
    </w:p>
    <w:p w14:paraId="549DEF19" w14:textId="77777777" w:rsidR="003C48E0" w:rsidRPr="00F7669E" w:rsidRDefault="003C48E0" w:rsidP="003C48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9EA7703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F7669E">
        <w:rPr>
          <w:rFonts w:ascii="Calibri" w:eastAsia="Times New Roman" w:hAnsi="Calibri" w:cs="Arial"/>
          <w:i/>
          <w:color w:val="0070C0"/>
          <w:lang w:eastAsia="sl-SI"/>
        </w:rPr>
        <w:t>Vsem razvojnim ambulantam z vključenim centrom za zgodnjo obravnavo otrok, izvajalcem logopedije in medicinske oskrbe v socialnovarstvenih zavodih, dispanzerjem za mentalno zdravje ter centrom za duševno zdravje otrok in mladostnikov</w:t>
      </w:r>
    </w:p>
    <w:p w14:paraId="42E47B44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259BCFD" w14:textId="77777777" w:rsidR="003C48E0" w:rsidRPr="00F7669E" w:rsidRDefault="003C48E0" w:rsidP="003C48E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F7669E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F7669E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57B41538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B56F441" w14:textId="243D1A50" w:rsidR="003C48E0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 xml:space="preserve">Zavod je z Okrožnico ZAE </w:t>
      </w:r>
      <w:r>
        <w:rPr>
          <w:rFonts w:ascii="Calibri" w:eastAsia="Times New Roman" w:hAnsi="Calibri" w:cs="Calibri"/>
          <w:lang w:eastAsia="sl-SI"/>
        </w:rPr>
        <w:t>4</w:t>
      </w:r>
      <w:r w:rsidRPr="00F7669E">
        <w:rPr>
          <w:rFonts w:ascii="Calibri" w:eastAsia="Times New Roman" w:hAnsi="Calibri" w:cs="Calibri"/>
          <w:lang w:eastAsia="sl-SI"/>
        </w:rPr>
        <w:t>/2</w:t>
      </w:r>
      <w:r>
        <w:rPr>
          <w:rFonts w:ascii="Calibri" w:eastAsia="Times New Roman" w:hAnsi="Calibri" w:cs="Calibri"/>
          <w:lang w:eastAsia="sl-SI"/>
        </w:rPr>
        <w:t>3 opredelil,</w:t>
      </w:r>
      <w:r w:rsidRPr="00F7669E">
        <w:rPr>
          <w:rFonts w:ascii="Calibri" w:eastAsia="Times New Roman" w:hAnsi="Calibri" w:cs="Calibri"/>
          <w:lang w:eastAsia="sl-SI"/>
        </w:rPr>
        <w:t xml:space="preserve"> </w:t>
      </w:r>
      <w:r>
        <w:rPr>
          <w:rFonts w:ascii="Calibri" w:eastAsia="Times New Roman" w:hAnsi="Calibri" w:cs="Calibri"/>
          <w:lang w:eastAsia="sl-SI"/>
        </w:rPr>
        <w:t xml:space="preserve">da lahko </w:t>
      </w:r>
      <w:r w:rsidR="00623069">
        <w:rPr>
          <w:rFonts w:ascii="Calibri" w:eastAsia="Times New Roman" w:hAnsi="Calibri" w:cs="Calibri"/>
          <w:lang w:eastAsia="sl-SI"/>
        </w:rPr>
        <w:t>z</w:t>
      </w:r>
      <w:r w:rsidR="00623069" w:rsidRPr="009C4387">
        <w:rPr>
          <w:rFonts w:cstheme="minorHAnsi"/>
          <w:bCs/>
        </w:rPr>
        <w:t>aradi pomanjkanja kliničnih logopedov in v izogib zmanjšanju dostopnosti do nekaterih kliničnih logopedskih storitev</w:t>
      </w:r>
      <w:r w:rsidR="00623069" w:rsidRPr="00F7669E">
        <w:rPr>
          <w:rFonts w:ascii="Calibri" w:eastAsia="Times New Roman" w:hAnsi="Calibri" w:cs="Calibri"/>
          <w:lang w:eastAsia="sl-SI"/>
        </w:rPr>
        <w:t xml:space="preserve"> </w:t>
      </w:r>
      <w:r w:rsidRPr="00F7669E">
        <w:rPr>
          <w:rFonts w:ascii="Calibri" w:eastAsia="Times New Roman" w:hAnsi="Calibri" w:cs="Calibri"/>
          <w:lang w:eastAsia="sl-SI"/>
        </w:rPr>
        <w:t>nekatere storitve kliničnega logopeda, za določene patologije in otroke do 3. leta starosti, izvajajo tudi logopedi z opravljenim strokovnim izpitom in vsaj desetimi leti delovnih izkušenj na nekaterih strokovnih področjih kliničnega logopeda</w:t>
      </w:r>
      <w:r w:rsidR="00623069">
        <w:rPr>
          <w:rFonts w:ascii="Calibri" w:eastAsia="Times New Roman" w:hAnsi="Calibri" w:cs="Calibri"/>
          <w:lang w:eastAsia="sl-SI"/>
        </w:rPr>
        <w:t xml:space="preserve">, </w:t>
      </w:r>
      <w:r w:rsidR="00623069" w:rsidRPr="009C4387">
        <w:rPr>
          <w:rFonts w:cstheme="minorHAnsi"/>
          <w:bCs/>
        </w:rPr>
        <w:t>kar lahko dokažejo z ustreznimi potrdili</w:t>
      </w:r>
      <w:r>
        <w:rPr>
          <w:rFonts w:ascii="Calibri" w:eastAsia="Times New Roman" w:hAnsi="Calibri" w:cs="Calibri"/>
          <w:lang w:eastAsia="sl-SI"/>
        </w:rPr>
        <w:t>.</w:t>
      </w:r>
    </w:p>
    <w:p w14:paraId="6E6F2D9E" w14:textId="77777777" w:rsidR="003C48E0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888D462" w14:textId="466477E0" w:rsidR="003C48E0" w:rsidRPr="00F7669E" w:rsidRDefault="00623069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S tokratno okrožnico pri naslednjih storitvah kliničnega logopeda dopolnjujemo kadrovski normativ z logopedom:</w:t>
      </w:r>
    </w:p>
    <w:p w14:paraId="64489DEC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KLOG106 »Klinični logopedski diagnostični pregled«,</w:t>
      </w:r>
    </w:p>
    <w:p w14:paraId="50DF5D45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KLOG107 »Usmerjen klinični logopedski diagnostični pregled«,</w:t>
      </w:r>
    </w:p>
    <w:p w14:paraId="240A078B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KLOG109 »Klinični logopedski diagnostični pregled na daljavo«,</w:t>
      </w:r>
    </w:p>
    <w:p w14:paraId="2FD0336B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KLOG201 »Klinično logopedska terapevtska storitev 2«,</w:t>
      </w:r>
    </w:p>
    <w:p w14:paraId="61515421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lastRenderedPageBreak/>
        <w:t>KLOG202 »Klinično logopedska terapevtska storitev 2 na daljavo«,</w:t>
      </w:r>
    </w:p>
    <w:p w14:paraId="0815620A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KLOG205 »Klinično logopedska terapevtska storitev 4« in</w:t>
      </w:r>
    </w:p>
    <w:p w14:paraId="375ECA43" w14:textId="77777777" w:rsidR="003C48E0" w:rsidRPr="00F7669E" w:rsidRDefault="003C48E0" w:rsidP="003C48E0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>KLOG206 »Klinično logopedska terapevtska storitev 4 na daljavo«.</w:t>
      </w:r>
    </w:p>
    <w:p w14:paraId="4A8241C2" w14:textId="169856A5" w:rsidR="003C48E0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D40BB00" w14:textId="5366F38E" w:rsidR="00623069" w:rsidRDefault="00623069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cstheme="minorHAnsi"/>
          <w:bCs/>
        </w:rPr>
        <w:t>D</w:t>
      </w:r>
      <w:r w:rsidRPr="009C4387">
        <w:rPr>
          <w:rFonts w:cstheme="minorHAnsi"/>
          <w:bCs/>
        </w:rPr>
        <w:t xml:space="preserve">opolnjen kadrovski normativ </w:t>
      </w:r>
      <w:r w:rsidR="005D125C">
        <w:rPr>
          <w:rFonts w:cstheme="minorHAnsi"/>
          <w:bCs/>
        </w:rPr>
        <w:t xml:space="preserve">je sprejel Upravni odbor Zavoda in </w:t>
      </w:r>
      <w:r w:rsidRPr="009C4387">
        <w:rPr>
          <w:rFonts w:cstheme="minorHAnsi"/>
          <w:bCs/>
        </w:rPr>
        <w:t>se uporablja pet let, in sicer od 1. 3. 2023 do 28. 2. 2028. Po izteku tega obdobja storitve KLOG izvajajo le specialisti klinične logopedije.</w:t>
      </w:r>
    </w:p>
    <w:p w14:paraId="5C053571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EE00E8A" w14:textId="77777777" w:rsidR="003C48E0" w:rsidRPr="00F7669E" w:rsidRDefault="003C48E0" w:rsidP="003C48E0">
      <w:pPr>
        <w:spacing w:after="0" w:line="240" w:lineRule="auto"/>
        <w:jc w:val="both"/>
        <w:rPr>
          <w:rFonts w:ascii="Calibri" w:hAnsi="Calibri"/>
          <w:b/>
          <w:bCs/>
        </w:rPr>
      </w:pPr>
      <w:r w:rsidRPr="00F7669E">
        <w:rPr>
          <w:rFonts w:ascii="Calibri" w:hAnsi="Calibri"/>
          <w:b/>
          <w:bCs/>
        </w:rPr>
        <w:t>Navodilo za obračun</w:t>
      </w:r>
    </w:p>
    <w:p w14:paraId="049A907D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8A5C269" w14:textId="1672CE91" w:rsidR="003C48E0" w:rsidRPr="00F7669E" w:rsidRDefault="003C48E0" w:rsidP="003C48E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F7669E">
        <w:rPr>
          <w:rFonts w:ascii="Calibri" w:eastAsia="Times New Roman" w:hAnsi="Calibri" w:cs="Calibri"/>
          <w:lang w:eastAsia="sl-SI"/>
        </w:rPr>
        <w:t xml:space="preserve">Skladno z navedenim dopolnjujemo </w:t>
      </w:r>
      <w:r w:rsidR="005F1CFD">
        <w:rPr>
          <w:rFonts w:ascii="Calibri" w:eastAsia="Times New Roman" w:hAnsi="Calibri" w:cs="Calibri"/>
          <w:lang w:eastAsia="sl-SI"/>
        </w:rPr>
        <w:t>kadrovske normative na</w:t>
      </w:r>
      <w:r w:rsidR="00791DCC">
        <w:rPr>
          <w:rFonts w:ascii="Calibri" w:eastAsia="Times New Roman" w:hAnsi="Calibri" w:cs="Calibri"/>
          <w:lang w:eastAsia="sl-SI"/>
        </w:rPr>
        <w:t>slednjih</w:t>
      </w:r>
      <w:r w:rsidR="005F1CFD">
        <w:rPr>
          <w:rFonts w:ascii="Calibri" w:eastAsia="Times New Roman" w:hAnsi="Calibri" w:cs="Calibri"/>
          <w:lang w:eastAsia="sl-SI"/>
        </w:rPr>
        <w:t xml:space="preserve"> storitev v seznamu storitev 15.143b »</w:t>
      </w:r>
      <w:r w:rsidR="005F1CFD" w:rsidRPr="005F1CFD">
        <w:rPr>
          <w:rFonts w:ascii="Calibri" w:eastAsia="Times New Roman" w:hAnsi="Calibri" w:cs="Calibri"/>
          <w:lang w:eastAsia="sl-SI"/>
        </w:rPr>
        <w:t>Storitve logopedije - klinični logoped (327 061, 509 035, 512 032, 512 057, 644 409)</w:t>
      </w:r>
      <w:r w:rsidR="005F1CFD">
        <w:rPr>
          <w:rFonts w:ascii="Calibri" w:eastAsia="Times New Roman" w:hAnsi="Calibri" w:cs="Calibri"/>
          <w:lang w:eastAsia="sl-SI"/>
        </w:rPr>
        <w:t>«</w:t>
      </w:r>
      <w:r w:rsidR="00791DCC">
        <w:rPr>
          <w:rFonts w:ascii="Calibri" w:eastAsia="Times New Roman" w:hAnsi="Calibri" w:cs="Calibri"/>
          <w:lang w:eastAsia="sl-SI"/>
        </w:rPr>
        <w:t xml:space="preserve"> (dopolnitve so označene s krepko pisavo):</w:t>
      </w:r>
    </w:p>
    <w:p w14:paraId="4A1FF60F" w14:textId="7DF4CD00" w:rsidR="003C48E0" w:rsidRDefault="003C48E0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5929"/>
        <w:gridCol w:w="1211"/>
      </w:tblGrid>
      <w:tr w:rsidR="00110196" w14:paraId="49188E22" w14:textId="77777777" w:rsidTr="00110196">
        <w:tc>
          <w:tcPr>
            <w:tcW w:w="988" w:type="dxa"/>
            <w:vAlign w:val="center"/>
          </w:tcPr>
          <w:p w14:paraId="625798E9" w14:textId="287F10B1" w:rsidR="00110196" w:rsidRPr="00110196" w:rsidRDefault="00110196" w:rsidP="00110196">
            <w:pPr>
              <w:jc w:val="both"/>
              <w:rPr>
                <w:rFonts w:eastAsia="Calibri" w:cstheme="minorHAnsi"/>
                <w:color w:val="000000"/>
              </w:rPr>
            </w:pPr>
            <w:r w:rsidRPr="00110196">
              <w:rPr>
                <w:rFonts w:cstheme="minorHAnsi"/>
                <w:b/>
                <w:bCs/>
                <w:sz w:val="20"/>
                <w:szCs w:val="20"/>
              </w:rPr>
              <w:t>Šifra storitve</w:t>
            </w:r>
          </w:p>
        </w:tc>
        <w:tc>
          <w:tcPr>
            <w:tcW w:w="1275" w:type="dxa"/>
            <w:vAlign w:val="center"/>
          </w:tcPr>
          <w:p w14:paraId="55920FBD" w14:textId="2DB019E3" w:rsidR="00110196" w:rsidRPr="00110196" w:rsidRDefault="00110196" w:rsidP="00110196">
            <w:pPr>
              <w:jc w:val="both"/>
              <w:rPr>
                <w:rFonts w:eastAsia="Calibri" w:cstheme="minorHAnsi"/>
                <w:color w:val="000000"/>
              </w:rPr>
            </w:pPr>
            <w:r w:rsidRPr="00110196">
              <w:rPr>
                <w:rFonts w:cstheme="minorHAnsi"/>
                <w:b/>
                <w:bCs/>
                <w:sz w:val="20"/>
                <w:szCs w:val="20"/>
              </w:rPr>
              <w:t>Kratek opis</w:t>
            </w:r>
          </w:p>
        </w:tc>
        <w:tc>
          <w:tcPr>
            <w:tcW w:w="5929" w:type="dxa"/>
            <w:vAlign w:val="center"/>
          </w:tcPr>
          <w:p w14:paraId="5F72B17B" w14:textId="57DDED29" w:rsidR="00110196" w:rsidRPr="00110196" w:rsidRDefault="00110196" w:rsidP="00110196">
            <w:pPr>
              <w:jc w:val="both"/>
              <w:rPr>
                <w:rFonts w:eastAsia="Calibri" w:cstheme="minorHAnsi"/>
                <w:color w:val="000000"/>
              </w:rPr>
            </w:pPr>
            <w:r w:rsidRPr="00110196">
              <w:rPr>
                <w:rFonts w:cstheme="minorHAnsi"/>
                <w:b/>
                <w:bCs/>
                <w:sz w:val="20"/>
                <w:szCs w:val="20"/>
              </w:rPr>
              <w:t xml:space="preserve">Dolg opis </w:t>
            </w:r>
          </w:p>
        </w:tc>
        <w:tc>
          <w:tcPr>
            <w:tcW w:w="1211" w:type="dxa"/>
          </w:tcPr>
          <w:p w14:paraId="4E0FA422" w14:textId="118179A0" w:rsidR="00110196" w:rsidRPr="00110196" w:rsidRDefault="00110196" w:rsidP="0011019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10196">
              <w:rPr>
                <w:rFonts w:cstheme="minorHAnsi"/>
                <w:b/>
                <w:bCs/>
                <w:sz w:val="20"/>
                <w:szCs w:val="20"/>
              </w:rPr>
              <w:t>Kadrovski normativ</w:t>
            </w:r>
          </w:p>
        </w:tc>
      </w:tr>
      <w:tr w:rsidR="008173A5" w:rsidRPr="008173A5" w14:paraId="2C41E074" w14:textId="77777777" w:rsidTr="00110196">
        <w:tc>
          <w:tcPr>
            <w:tcW w:w="988" w:type="dxa"/>
          </w:tcPr>
          <w:p w14:paraId="4E1189C3" w14:textId="4C56821D" w:rsidR="008173A5" w:rsidRPr="008173A5" w:rsidRDefault="008173A5" w:rsidP="008173A5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KLOG106</w:t>
            </w:r>
          </w:p>
        </w:tc>
        <w:tc>
          <w:tcPr>
            <w:tcW w:w="1275" w:type="dxa"/>
          </w:tcPr>
          <w:p w14:paraId="11DEEEC3" w14:textId="2DCA7FDB" w:rsidR="008173A5" w:rsidRPr="008173A5" w:rsidRDefault="008173A5" w:rsidP="008173A5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Klinični logopedski diagnostični pregled</w:t>
            </w:r>
          </w:p>
        </w:tc>
        <w:tc>
          <w:tcPr>
            <w:tcW w:w="5929" w:type="dxa"/>
          </w:tcPr>
          <w:p w14:paraId="307A580D" w14:textId="4C97CEEC" w:rsidR="008173A5" w:rsidRPr="008173A5" w:rsidRDefault="008173A5" w:rsidP="008173A5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Klinični logopedski diagnostični pregled vključuje pregled in oceno komunikacije, jezikovnih zmožnosti, govornih zmožnosti, fluentnosti govora, poslušanja, glasu, funkcije orofacialnih struktur, požiranja, branja in pisanja z enostavnimi logopedskimi diagnostičnimi postopki in metodami (standardiziranimi in nestandardiziranimi vprašalniki, lestvicami, presejalnimi testi, drugimi preizkusi, različnimi napravami in pripomočki). Pregled se izvede z namenom načrtovanja nadaljnjih diferencialno diagnostičnih in terapevtskih postopkov. V dokumentacijo se zapišejo ugotovitve pregleda in načrt nadaljnjih postopkov.</w:t>
            </w:r>
          </w:p>
        </w:tc>
        <w:tc>
          <w:tcPr>
            <w:tcW w:w="1211" w:type="dxa"/>
          </w:tcPr>
          <w:p w14:paraId="6090C0D0" w14:textId="4709B716" w:rsidR="008173A5" w:rsidRPr="008173A5" w:rsidRDefault="008173A5" w:rsidP="008173A5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EF6498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6AFD663C" w14:textId="77777777" w:rsidTr="00110196">
        <w:tc>
          <w:tcPr>
            <w:tcW w:w="988" w:type="dxa"/>
          </w:tcPr>
          <w:p w14:paraId="764C8366" w14:textId="76EA0FD1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KLOG107</w:t>
            </w:r>
          </w:p>
        </w:tc>
        <w:tc>
          <w:tcPr>
            <w:tcW w:w="1275" w:type="dxa"/>
          </w:tcPr>
          <w:p w14:paraId="7059E846" w14:textId="0C6DCE33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Usmerjen klinični logopedski diagnostični pregled</w:t>
            </w:r>
          </w:p>
        </w:tc>
        <w:tc>
          <w:tcPr>
            <w:tcW w:w="5929" w:type="dxa"/>
          </w:tcPr>
          <w:p w14:paraId="4430A7F6" w14:textId="6B8C2502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Usmerjen klinični logopedski diagnostični pregled vključuje obsežnejšo diagnostiko na področju/področjih, kjer je bilo ugotovljeno odstopanje. Vključuje pregled in oceno komunikacije, jezikovnih zmožnosti, govornih zmožnosti, fluentnosti govora, poslušanja, glasu, funkcije orofacialnih struktur, požiranja, branja in pisanja z usmerjenimi logopedskimi diagnostičnimi postopki in metodami (standardiziranimi in nestandardiziranimi vprašalniki, lestvicami, presejalnimi testi, drugimi preizkusi, različnimi napravami in pripomočki). Pregled se izvede z namenom načrtovanja nadaljnih diferencialno diagnostičnih in terapevtskih postopkov ali spremljanja rizičnega razvoja otroka. V dokumentacijo se zapišejo ugotovitve v povezavi z odstopanji in načrt nadaljnjih postopkov oziroma spremljanja razvoja otroka.</w:t>
            </w:r>
          </w:p>
        </w:tc>
        <w:tc>
          <w:tcPr>
            <w:tcW w:w="1211" w:type="dxa"/>
          </w:tcPr>
          <w:p w14:paraId="19A85CD0" w14:textId="5309AE09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240EF481" w14:textId="77777777" w:rsidTr="00110196">
        <w:tc>
          <w:tcPr>
            <w:tcW w:w="988" w:type="dxa"/>
          </w:tcPr>
          <w:p w14:paraId="1648015D" w14:textId="1F175F6A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KLOG109</w:t>
            </w:r>
          </w:p>
        </w:tc>
        <w:tc>
          <w:tcPr>
            <w:tcW w:w="1275" w:type="dxa"/>
          </w:tcPr>
          <w:p w14:paraId="6369001C" w14:textId="5EB4262B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Klinični logopedski diagnostični pregled na daljavo</w:t>
            </w:r>
          </w:p>
        </w:tc>
        <w:tc>
          <w:tcPr>
            <w:tcW w:w="5929" w:type="dxa"/>
          </w:tcPr>
          <w:p w14:paraId="4E361C45" w14:textId="40293675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Klinični logopedski diagnostični pregled na daljavo vključuje oceno komunikacije, jezikovnih in/ali govornih zmožnosti z uporabo IKT. Pregled se izvede z namenom načrtovanja nadaljnjih diferencialno diagnostičnih in terapevtskih postopkov. Pregled vključuje pregled in oceno komunikacije, jezikovnih zmožnosti, govornih zmožnosti, fluentnosti govora, poslušanja, glasu, funkcije orofacialnih struktur, požiranja, branja in pisanja z enostavnimi logopedskimi diagnostičnimi postopki in metodami (standardiziranimi in nestandardiziranimi vprašalniki, lestvicami, presejalnimi testi, drugimi preizkusi, različnimi napravami in pripomočki). V dokumentacijo se zapiše komunikacijski medij, datum in vsebina storitve (ugotovitve pregleda in načrt nadaljnjih postopkov).</w:t>
            </w:r>
          </w:p>
        </w:tc>
        <w:tc>
          <w:tcPr>
            <w:tcW w:w="1211" w:type="dxa"/>
          </w:tcPr>
          <w:p w14:paraId="0CE764B4" w14:textId="37310DF2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0EDDAAF8" w14:textId="77777777" w:rsidTr="00110196">
        <w:tc>
          <w:tcPr>
            <w:tcW w:w="988" w:type="dxa"/>
          </w:tcPr>
          <w:p w14:paraId="6CC6CBA8" w14:textId="739B1C57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KLOG201</w:t>
            </w:r>
          </w:p>
        </w:tc>
        <w:tc>
          <w:tcPr>
            <w:tcW w:w="1275" w:type="dxa"/>
          </w:tcPr>
          <w:p w14:paraId="217FE139" w14:textId="209B26F9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2</w:t>
            </w:r>
          </w:p>
        </w:tc>
        <w:tc>
          <w:tcPr>
            <w:tcW w:w="5929" w:type="dxa"/>
          </w:tcPr>
          <w:p w14:paraId="41EFFE7B" w14:textId="7B32F18D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2 vključuje terapijo pri artikulacijskih motnjah, pri fonoloških motnjah, pri nepravilnem dihanju, nastavitve slušnih pripomočkov ter uporabo različnih pripomočkov z namenom izboljšanja komunikacijskih zmožnosti in/ali požiranja. V dokumentacijo se zapiše komunikacijski medij, datum in vsebina storitve. Storitev se izključuje s storitvijo KLOG202.</w:t>
            </w:r>
          </w:p>
        </w:tc>
        <w:tc>
          <w:tcPr>
            <w:tcW w:w="1211" w:type="dxa"/>
          </w:tcPr>
          <w:p w14:paraId="2F02860F" w14:textId="03605354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565501E0" w14:textId="77777777" w:rsidTr="00110196">
        <w:tc>
          <w:tcPr>
            <w:tcW w:w="988" w:type="dxa"/>
          </w:tcPr>
          <w:p w14:paraId="68F4A470" w14:textId="6C6998EB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lastRenderedPageBreak/>
              <w:t>KLOG202</w:t>
            </w:r>
          </w:p>
        </w:tc>
        <w:tc>
          <w:tcPr>
            <w:tcW w:w="1275" w:type="dxa"/>
          </w:tcPr>
          <w:p w14:paraId="0C554D4F" w14:textId="2A1C6263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2 na daljavo</w:t>
            </w:r>
          </w:p>
        </w:tc>
        <w:tc>
          <w:tcPr>
            <w:tcW w:w="5929" w:type="dxa"/>
          </w:tcPr>
          <w:p w14:paraId="3F838366" w14:textId="1DF742EA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2 na daljavo vključuje terapijo z uporabo IKT pri artikulacijskih motnjah, pri fonoloških motnjah, pri nepravilnem dihanju ter uporabo različnih pripomočkov z namenom izboljšanja komunikacijskih zmožnosti in/ali požiranja. V dokumentacijo se zapiše komunikacijski medij, datum in vsebina storitve. Storitev se izključuje s storitvijo KLOG201.</w:t>
            </w:r>
          </w:p>
        </w:tc>
        <w:tc>
          <w:tcPr>
            <w:tcW w:w="1211" w:type="dxa"/>
          </w:tcPr>
          <w:p w14:paraId="3354C6A2" w14:textId="627A3077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51E3D9DE" w14:textId="77777777" w:rsidTr="00110196">
        <w:tc>
          <w:tcPr>
            <w:tcW w:w="988" w:type="dxa"/>
          </w:tcPr>
          <w:p w14:paraId="1635E417" w14:textId="2DFC45AA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KLOG205</w:t>
            </w:r>
          </w:p>
        </w:tc>
        <w:tc>
          <w:tcPr>
            <w:tcW w:w="1275" w:type="dxa"/>
          </w:tcPr>
          <w:p w14:paraId="2C7C078B" w14:textId="42094E1E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4</w:t>
            </w:r>
          </w:p>
        </w:tc>
        <w:tc>
          <w:tcPr>
            <w:tcW w:w="5929" w:type="dxa"/>
          </w:tcPr>
          <w:p w14:paraId="2D3A3A63" w14:textId="7A06BA0C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4 vključuje terapijo pri komunikacijskih, govornih ali jezikovnih motnjah v zgodnjem otroštvu, pri jezikovnih motnjah, pri motnjah fluentnosti, pri izgubah sluha, pri motnjah branja in/ali pisanja, pri nevrološko pogojenih motnjah komunikacije, pri motnjah komunikacije, glasu in požiranja kot posledica patologije  in /ali operativnih posegov na področju glave in vratu, uvajanje pripomočkov pri glasovni terapiji, pri motnjah v duševnem razvoju, pri motnjah avtističnega spektra, pri psihogenih motnjah, pri kombiniranih motnjah, trening komunikacijskih veščin s pripomočki za nadomestno ali dopolnilno komunikacijo, nastavitve komunikacijskih pripomočkov, priprava in dodajanje vsebin. V zdravstveno dokumentacijo se zapišeta datum in vsebina storitve. Storitev se izključuje s storitvijo KLOG206.</w:t>
            </w:r>
          </w:p>
        </w:tc>
        <w:tc>
          <w:tcPr>
            <w:tcW w:w="1211" w:type="dxa"/>
          </w:tcPr>
          <w:p w14:paraId="2DDEA81B" w14:textId="5C82F0B5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  <w:tr w:rsidR="00EF6498" w:rsidRPr="008173A5" w14:paraId="1343E063" w14:textId="77777777" w:rsidTr="00110196">
        <w:tc>
          <w:tcPr>
            <w:tcW w:w="988" w:type="dxa"/>
          </w:tcPr>
          <w:p w14:paraId="2D29ED1F" w14:textId="6F1C66CD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KLOG206</w:t>
            </w:r>
          </w:p>
        </w:tc>
        <w:tc>
          <w:tcPr>
            <w:tcW w:w="1275" w:type="dxa"/>
          </w:tcPr>
          <w:p w14:paraId="3C7A7F13" w14:textId="2FA0BDD6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4 na daljavo</w:t>
            </w:r>
          </w:p>
        </w:tc>
        <w:tc>
          <w:tcPr>
            <w:tcW w:w="5929" w:type="dxa"/>
          </w:tcPr>
          <w:p w14:paraId="4269DA50" w14:textId="449F7BDB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173A5">
              <w:rPr>
                <w:rFonts w:cstheme="minorHAnsi"/>
                <w:sz w:val="20"/>
                <w:szCs w:val="20"/>
              </w:rPr>
              <w:t>Klinično logopedska terapevtska storitev 4 na daljavo vključuje terapijo z uporabo IKT pri komunikacijskih, govornih ali jezikovnih motnjah v zgodnjem otroštvu, pri jezikovnih motnjah, pri motnjah fluentnosti, pri izgubah sluha, pri motnjah branja in/ali pisanja, pri nevrološko pogojenih motnjah komunikacije, pri motnjah komunikacije, glasu in požiranja kot posledica patologije  in /ali operativnih posegov na področju glave in vratu, uvajanje pripomočkov pri glasovni terapiji, pri motnjah v duševnem razvoju, pri motnjah avtističnega spektra, pri psihogenih motnjah, pri kombiniranih motnjah, trening komunikacijskih veščin s pripomočki za nadomestno ali dopolnilno komunikacijo, nastavitve komunikacijskih pripomočkov, priprava in dodajanje vsebin. V zdravstveno dokumentacijo se zapiše komunikacijski medij, datum in vsebina storitve. Storitev se izključuje s storitvijo KLOG205.</w:t>
            </w:r>
          </w:p>
        </w:tc>
        <w:tc>
          <w:tcPr>
            <w:tcW w:w="1211" w:type="dxa"/>
          </w:tcPr>
          <w:p w14:paraId="71E903CE" w14:textId="47526A3C" w:rsidR="00EF6498" w:rsidRPr="008173A5" w:rsidRDefault="00EF6498" w:rsidP="00EF64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F1601">
              <w:rPr>
                <w:rFonts w:cstheme="minorHAnsi"/>
                <w:sz w:val="20"/>
                <w:szCs w:val="20"/>
              </w:rPr>
              <w:t xml:space="preserve">specialist klinične logopedije, </w:t>
            </w:r>
            <w:r w:rsidRPr="00CF1601">
              <w:rPr>
                <w:rFonts w:cstheme="minorHAnsi"/>
                <w:b/>
                <w:bCs/>
                <w:sz w:val="20"/>
                <w:szCs w:val="20"/>
              </w:rPr>
              <w:t>logoped *</w:t>
            </w:r>
          </w:p>
        </w:tc>
      </w:tr>
    </w:tbl>
    <w:p w14:paraId="33698125" w14:textId="718C43ED" w:rsidR="003C48E0" w:rsidRPr="008173A5" w:rsidRDefault="003C48E0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14:paraId="2D16D2FC" w14:textId="44FFAAEA" w:rsidR="003C48E0" w:rsidRDefault="00D03599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D03599">
        <w:rPr>
          <w:rFonts w:ascii="Calibri" w:eastAsia="Calibri" w:hAnsi="Calibri" w:cs="Arial"/>
          <w:color w:val="000000"/>
        </w:rPr>
        <w:t>* Logoped z opravljenim strokovnim izpitom in vsaj desetimi leti delovnih izkušenj na strokovnem področju, ki so v seznamu storitev vključene v specialističnih storitvah KLOG106, KLOG107, KLOG109, KLOG201, KLOG202, KLOG205 in KLOG206, kar lahko dokaže z ustreznimi potrdili. Velja za obdobje petih let, in sicer od 1. 3. 2023 do 28. 2. 2028. Po izteku tega obdobja storitve KLOG izvajajo le specialisti klinične logopedije.</w:t>
      </w:r>
    </w:p>
    <w:p w14:paraId="1F4CB5EA" w14:textId="77777777" w:rsidR="00D03599" w:rsidRPr="00F7669E" w:rsidRDefault="00D03599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72F74F7" w14:textId="321CCEA0" w:rsidR="003C48E0" w:rsidRPr="00F7669E" w:rsidRDefault="003C48E0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F7669E">
        <w:rPr>
          <w:rFonts w:ascii="Calibri" w:eastAsia="Calibri" w:hAnsi="Calibri" w:cs="Arial"/>
          <w:color w:val="000000"/>
        </w:rPr>
        <w:t>Spremembe veljajo za storitve, opravljene od</w:t>
      </w:r>
      <w:r w:rsidR="00D03599" w:rsidRPr="00D03599">
        <w:rPr>
          <w:rFonts w:ascii="Calibri" w:eastAsia="Calibri" w:hAnsi="Calibri" w:cs="Arial"/>
          <w:color w:val="000000"/>
        </w:rPr>
        <w:t xml:space="preserve"> </w:t>
      </w:r>
      <w:r w:rsidR="005C2964" w:rsidRPr="00D03599">
        <w:rPr>
          <w:rFonts w:ascii="Calibri" w:eastAsia="Calibri" w:hAnsi="Calibri" w:cs="Arial"/>
          <w:color w:val="000000"/>
        </w:rPr>
        <w:t xml:space="preserve">1. 3. 2023 </w:t>
      </w:r>
      <w:r w:rsidR="005C2964">
        <w:rPr>
          <w:rFonts w:ascii="Calibri" w:eastAsia="Calibri" w:hAnsi="Calibri" w:cs="Arial"/>
          <w:color w:val="000000"/>
        </w:rPr>
        <w:t xml:space="preserve">do </w:t>
      </w:r>
      <w:r w:rsidR="00D03599" w:rsidRPr="00D03599">
        <w:rPr>
          <w:rFonts w:ascii="Calibri" w:eastAsia="Calibri" w:hAnsi="Calibri" w:cs="Arial"/>
          <w:color w:val="000000"/>
        </w:rPr>
        <w:t>28. 2. 2028</w:t>
      </w:r>
      <w:r w:rsidRPr="00F7669E">
        <w:rPr>
          <w:rFonts w:ascii="Calibri" w:eastAsia="Calibri" w:hAnsi="Calibri" w:cs="Arial"/>
          <w:color w:val="000000"/>
        </w:rPr>
        <w:t>.</w:t>
      </w:r>
    </w:p>
    <w:p w14:paraId="02A70791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CDA055D" w14:textId="77777777" w:rsidR="003C48E0" w:rsidRPr="00F7669E" w:rsidRDefault="003C48E0" w:rsidP="003C48E0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F7669E">
        <w:rPr>
          <w:rFonts w:ascii="Calibri" w:eastAsia="Calibri" w:hAnsi="Calibri" w:cs="Arial"/>
          <w:color w:val="000000"/>
        </w:rPr>
        <w:t>Kontaktna oseba za vsebinska vprašanja:</w:t>
      </w:r>
    </w:p>
    <w:p w14:paraId="330CA9C3" w14:textId="56A9AC15" w:rsidR="003C48E0" w:rsidRDefault="003C48E0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  <w:r w:rsidRPr="00F7669E">
        <w:rPr>
          <w:rFonts w:ascii="Calibri" w:eastAsia="Calibri" w:hAnsi="Calibri" w:cs="Arial"/>
          <w:color w:val="000000"/>
        </w:rPr>
        <w:t>Karmen Grom Kenk (</w:t>
      </w:r>
      <w:hyperlink r:id="rId12" w:history="1">
        <w:r w:rsidRPr="00F7669E">
          <w:rPr>
            <w:rFonts w:ascii="Calibri" w:eastAsia="Calibri" w:hAnsi="Calibri" w:cs="Arial"/>
            <w:color w:val="0563C1" w:themeColor="hyperlink"/>
            <w:u w:val="single"/>
          </w:rPr>
          <w:t>karmen.grom-kenk@zzzs.si</w:t>
        </w:r>
      </w:hyperlink>
      <w:r w:rsidRPr="00F7669E">
        <w:rPr>
          <w:rFonts w:ascii="Calibri" w:eastAsia="Calibri" w:hAnsi="Calibri" w:cs="Arial"/>
          <w:color w:val="000000"/>
        </w:rPr>
        <w:t>; 01/30-77-340)</w:t>
      </w:r>
    </w:p>
    <w:p w14:paraId="463B7FE3" w14:textId="77777777" w:rsidR="00EF6498" w:rsidRDefault="00EF6498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430A51E6" w14:textId="17579835" w:rsidR="003C48E0" w:rsidRDefault="003C48E0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1676D5D7" w14:textId="67F64F80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6F54DCC1" w14:textId="70D996BB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6678784C" w14:textId="6FC91222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0FC9A840" w14:textId="381491AD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082566E1" w14:textId="27606B5E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3903B55D" w14:textId="7B89C931" w:rsidR="00F40784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6FF85E33" w14:textId="77777777" w:rsidR="00F40784" w:rsidRPr="00F7669E" w:rsidRDefault="00F40784" w:rsidP="003C48E0">
      <w:pPr>
        <w:spacing w:after="0" w:line="240" w:lineRule="auto"/>
        <w:rPr>
          <w:rFonts w:ascii="Calibri" w:eastAsia="Calibri" w:hAnsi="Calibri" w:cs="Arial"/>
          <w:color w:val="000000"/>
        </w:rPr>
      </w:pPr>
    </w:p>
    <w:p w14:paraId="0DD3E84E" w14:textId="2578E6E5" w:rsidR="00DE06E3" w:rsidRPr="00FF0A09" w:rsidRDefault="00DE06E3" w:rsidP="00DE06E3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9" w:name="_Toc135648849"/>
      <w:r w:rsidRPr="00FF0A09"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>Dispanzer za ženske – n</w:t>
      </w:r>
      <w:r w:rsidR="002C367B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ova storitev </w:t>
      </w:r>
      <w:r w:rsidR="002C367B" w:rsidRPr="002C367B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K1060 »Presejalni test« ter dopolnitev opisa </w:t>
      </w:r>
      <w:r w:rsidR="002C367B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storitve </w:t>
      </w:r>
      <w:r w:rsidR="002C367B" w:rsidRPr="002C367B">
        <w:rPr>
          <w:rFonts w:ascii="Calibri" w:eastAsia="Times New Roman" w:hAnsi="Calibri" w:cs="Calibri"/>
          <w:b/>
          <w:color w:val="0070C0"/>
          <w:sz w:val="28"/>
          <w:szCs w:val="28"/>
        </w:rPr>
        <w:t>K1023 »Posegi IV«</w:t>
      </w:r>
      <w:r w:rsidR="002C367B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</w:t>
      </w:r>
      <w:r w:rsidRPr="00FF0A09">
        <w:rPr>
          <w:rFonts w:ascii="Calibri" w:eastAsia="Times New Roman" w:hAnsi="Calibri" w:cs="Calibri"/>
          <w:b/>
          <w:color w:val="0070C0"/>
          <w:sz w:val="28"/>
          <w:szCs w:val="28"/>
        </w:rPr>
        <w:t>s 1</w:t>
      </w:r>
      <w:r w:rsidR="002C367B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. 5. </w:t>
      </w:r>
      <w:r w:rsidRPr="00FF0A09">
        <w:rPr>
          <w:rFonts w:ascii="Calibri" w:eastAsia="Times New Roman" w:hAnsi="Calibri" w:cs="Calibri"/>
          <w:b/>
          <w:color w:val="0070C0"/>
          <w:sz w:val="28"/>
          <w:szCs w:val="28"/>
        </w:rPr>
        <w:t>2023</w:t>
      </w:r>
      <w:bookmarkEnd w:id="9"/>
    </w:p>
    <w:p w14:paraId="1583C3CB" w14:textId="77777777" w:rsidR="00DE06E3" w:rsidRPr="00FF0A09" w:rsidRDefault="00DE06E3" w:rsidP="00DE06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AFAF2D9" w14:textId="77777777" w:rsidR="00DE06E3" w:rsidRPr="00FF0A09" w:rsidRDefault="00DE06E3" w:rsidP="00DE06E3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FF0A09">
        <w:rPr>
          <w:rFonts w:ascii="Calibri" w:eastAsia="Times New Roman" w:hAnsi="Calibri" w:cs="Arial"/>
          <w:i/>
          <w:color w:val="0070C0"/>
          <w:lang w:eastAsia="sl-SI"/>
        </w:rPr>
        <w:t>Vsem dispanzerjem za ženske</w:t>
      </w:r>
    </w:p>
    <w:p w14:paraId="08436034" w14:textId="77777777" w:rsidR="00DE06E3" w:rsidRPr="00FF0A09" w:rsidRDefault="00DE06E3" w:rsidP="00DE06E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BCE57A0" w14:textId="77777777" w:rsidR="00DE06E3" w:rsidRPr="00FF0A09" w:rsidRDefault="00DE06E3" w:rsidP="00074E4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FF0A09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FF0A09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39AE70B2" w14:textId="77777777" w:rsidR="00074E44" w:rsidRDefault="00074E44" w:rsidP="00074E44">
      <w:pPr>
        <w:spacing w:after="0" w:line="240" w:lineRule="auto"/>
        <w:jc w:val="both"/>
        <w:rPr>
          <w:rFonts w:eastAsia="Calibri" w:cstheme="minorHAnsi"/>
        </w:rPr>
      </w:pPr>
    </w:p>
    <w:p w14:paraId="1F068E7B" w14:textId="229244DC" w:rsidR="00DE06E3" w:rsidRDefault="00DE06E3" w:rsidP="00074E44">
      <w:pPr>
        <w:spacing w:after="0" w:line="240" w:lineRule="auto"/>
        <w:jc w:val="both"/>
        <w:rPr>
          <w:rFonts w:eastAsia="Calibri" w:cstheme="minorHAnsi"/>
        </w:rPr>
      </w:pPr>
      <w:r w:rsidRPr="009C4387">
        <w:rPr>
          <w:rFonts w:eastAsia="Calibri" w:cstheme="minorHAnsi"/>
        </w:rPr>
        <w:t xml:space="preserve">Pravilnik o spremembah in dopolnitvah Pravilnika za izvajanje preventivnega zdravstvenega varstva na primarni ravni med drugim uvaja presejanje za depresivne in anksiozne motnje, odvisnost in nasilje v družini, in sicer za ženske v nosečnosti, po porodu ali prekinitvi nosečnosti, poleg tega pa tudi preventivno ultrazvočno preiskavo rasti ploda. </w:t>
      </w:r>
      <w:r w:rsidRPr="009C4387">
        <w:rPr>
          <w:rFonts w:eastAsia="Calibri" w:cstheme="minorHAnsi"/>
          <w:bCs/>
        </w:rPr>
        <w:t>Ker se novela p</w:t>
      </w:r>
      <w:r w:rsidRPr="009C4387">
        <w:rPr>
          <w:rFonts w:eastAsia="Calibri" w:cstheme="minorHAnsi"/>
        </w:rPr>
        <w:t xml:space="preserve">ravilnika uporablja že od 15. 4. 2023, </w:t>
      </w:r>
      <w:r>
        <w:rPr>
          <w:rFonts w:eastAsia="Calibri" w:cstheme="minorHAnsi"/>
        </w:rPr>
        <w:t>je Zavod</w:t>
      </w:r>
      <w:r w:rsidRPr="009C4387">
        <w:rPr>
          <w:rFonts w:eastAsia="Calibri" w:cstheme="minorHAnsi"/>
        </w:rPr>
        <w:t xml:space="preserve"> </w:t>
      </w:r>
      <w:r w:rsidR="002C367B" w:rsidRPr="009C4387">
        <w:rPr>
          <w:rFonts w:eastAsia="Calibri" w:cstheme="minorHAnsi"/>
        </w:rPr>
        <w:t>za obdobje od 15. 4. 2023 do 1. 5. 2023</w:t>
      </w:r>
      <w:r w:rsidR="002C367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z Okrožnico ZAE 8/23</w:t>
      </w:r>
      <w:r w:rsidRPr="009C4387">
        <w:rPr>
          <w:rFonts w:eastAsia="Calibri" w:cstheme="minorHAnsi"/>
        </w:rPr>
        <w:t xml:space="preserve"> </w:t>
      </w:r>
      <w:r w:rsidR="002C367B">
        <w:rPr>
          <w:rFonts w:eastAsia="Calibri" w:cstheme="minorHAnsi"/>
        </w:rPr>
        <w:t xml:space="preserve">že </w:t>
      </w:r>
      <w:r w:rsidRPr="009C4387">
        <w:rPr>
          <w:rFonts w:eastAsia="Calibri" w:cstheme="minorHAnsi"/>
        </w:rPr>
        <w:t>opredelil pravila obračuna ultrazvoka in presejanja z obstoječimi storitvami</w:t>
      </w:r>
      <w:r>
        <w:rPr>
          <w:rFonts w:eastAsia="Calibri" w:cstheme="minorHAnsi"/>
        </w:rPr>
        <w:t>.</w:t>
      </w:r>
    </w:p>
    <w:p w14:paraId="2EC116EA" w14:textId="77777777" w:rsidR="00074E44" w:rsidRDefault="00074E44" w:rsidP="00074E44">
      <w:pPr>
        <w:spacing w:after="0" w:line="240" w:lineRule="auto"/>
        <w:jc w:val="both"/>
        <w:rPr>
          <w:rFonts w:eastAsia="Calibri" w:cstheme="minorHAnsi"/>
        </w:rPr>
      </w:pPr>
    </w:p>
    <w:p w14:paraId="2C683068" w14:textId="7B554686" w:rsidR="00074E44" w:rsidRDefault="00DE06E3" w:rsidP="00074E4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 tokratno okrožnico opredeljujemo način beleženja od 1. 5. 2023 dalje, in sicer je Upravni odbor Zavoda za beleženje </w:t>
      </w:r>
      <w:r w:rsidRPr="009C4387">
        <w:rPr>
          <w:rFonts w:eastAsia="Calibri" w:cstheme="minorHAnsi"/>
        </w:rPr>
        <w:t>presejanj</w:t>
      </w:r>
      <w:r>
        <w:rPr>
          <w:rFonts w:eastAsia="Calibri" w:cstheme="minorHAnsi"/>
        </w:rPr>
        <w:t>a</w:t>
      </w:r>
      <w:r w:rsidRPr="009C4387">
        <w:rPr>
          <w:rFonts w:eastAsia="Calibri" w:cstheme="minorHAnsi"/>
        </w:rPr>
        <w:t xml:space="preserve"> za depresivne in anksiozne motnje, odvisnost in nasilje v družini za ženske v nosečnosti, po porodu ali prekinitvi nosečnosti</w:t>
      </w:r>
      <w:r>
        <w:rPr>
          <w:rFonts w:eastAsia="Calibri" w:cstheme="minorHAnsi"/>
        </w:rPr>
        <w:t xml:space="preserve"> sprejel novo </w:t>
      </w:r>
      <w:r w:rsidRPr="009C4387">
        <w:rPr>
          <w:rFonts w:eastAsia="Calibri" w:cstheme="minorHAnsi"/>
        </w:rPr>
        <w:t xml:space="preserve">storitev K1060 </w:t>
      </w:r>
      <w:r>
        <w:rPr>
          <w:rFonts w:eastAsia="Calibri" w:cstheme="minorHAnsi"/>
        </w:rPr>
        <w:t>»</w:t>
      </w:r>
      <w:r w:rsidRPr="009C4387">
        <w:rPr>
          <w:rFonts w:eastAsia="Calibri" w:cstheme="minorHAnsi"/>
        </w:rPr>
        <w:t>Presejalni test</w:t>
      </w:r>
      <w:r>
        <w:rPr>
          <w:rFonts w:eastAsia="Calibri" w:cstheme="minorHAnsi"/>
        </w:rPr>
        <w:t>«</w:t>
      </w:r>
      <w:r w:rsidR="00074E44">
        <w:rPr>
          <w:rFonts w:eastAsia="Calibri" w:cstheme="minorHAnsi"/>
        </w:rPr>
        <w:t>.</w:t>
      </w:r>
      <w:r w:rsidR="004D179C">
        <w:rPr>
          <w:rFonts w:eastAsia="Calibri" w:cstheme="minorHAnsi"/>
        </w:rPr>
        <w:t xml:space="preserve"> Tako se od 1. 5. 2023 dalje </w:t>
      </w:r>
      <w:r w:rsidR="004D179C" w:rsidRPr="00FF0A09">
        <w:rPr>
          <w:rFonts w:ascii="Calibri" w:eastAsia="Times New Roman" w:hAnsi="Calibri" w:cs="Calibri"/>
          <w:lang w:eastAsia="sl-SI"/>
        </w:rPr>
        <w:t>za obračun presejanja nosečnic za depresivne in anksiozne motnje</w:t>
      </w:r>
      <w:r w:rsidR="004D179C">
        <w:rPr>
          <w:rFonts w:ascii="Calibri" w:eastAsia="Times New Roman" w:hAnsi="Calibri" w:cs="Calibri"/>
          <w:lang w:eastAsia="sl-SI"/>
        </w:rPr>
        <w:t xml:space="preserve"> ne uporablja več</w:t>
      </w:r>
      <w:r w:rsidR="004D179C" w:rsidRPr="00FF0A09">
        <w:rPr>
          <w:rFonts w:ascii="Calibri" w:eastAsia="Times New Roman" w:hAnsi="Calibri" w:cs="Calibri"/>
          <w:lang w:eastAsia="sl-SI"/>
        </w:rPr>
        <w:t xml:space="preserve"> </w:t>
      </w:r>
      <w:r w:rsidR="004D179C">
        <w:rPr>
          <w:rFonts w:ascii="Calibri" w:eastAsia="Times New Roman" w:hAnsi="Calibri" w:cs="Calibri"/>
          <w:lang w:eastAsia="sl-SI"/>
        </w:rPr>
        <w:t>storitev</w:t>
      </w:r>
      <w:r w:rsidR="004D179C" w:rsidRPr="00FF0A09">
        <w:rPr>
          <w:rFonts w:ascii="Calibri" w:eastAsia="Times New Roman" w:hAnsi="Calibri" w:cs="Calibri"/>
          <w:lang w:eastAsia="sl-SI"/>
        </w:rPr>
        <w:t xml:space="preserve"> K1053 »Posvet na daljavo – daljši«</w:t>
      </w:r>
      <w:r w:rsidR="004D179C">
        <w:rPr>
          <w:rFonts w:ascii="Calibri" w:eastAsia="Times New Roman" w:hAnsi="Calibri" w:cs="Calibri"/>
          <w:lang w:eastAsia="sl-SI"/>
        </w:rPr>
        <w:t>, katero beleženje smo opredelili z Okrožnico ZAE 8/23.</w:t>
      </w:r>
    </w:p>
    <w:p w14:paraId="44EA6159" w14:textId="77777777" w:rsidR="00074E44" w:rsidRDefault="00074E44" w:rsidP="00074E44">
      <w:pPr>
        <w:spacing w:after="0" w:line="240" w:lineRule="auto"/>
        <w:jc w:val="both"/>
        <w:rPr>
          <w:rFonts w:eastAsia="Calibri" w:cstheme="minorHAnsi"/>
        </w:rPr>
      </w:pPr>
    </w:p>
    <w:p w14:paraId="21945130" w14:textId="05F27539" w:rsidR="00DE06E3" w:rsidRPr="004D179C" w:rsidRDefault="00074E44" w:rsidP="00074E4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Hkrati je</w:t>
      </w:r>
      <w:r w:rsidR="00DE06E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Upravni odbor Zavoda </w:t>
      </w:r>
      <w:r w:rsidR="002C367B" w:rsidRPr="00FF0A09">
        <w:rPr>
          <w:rFonts w:ascii="Calibri" w:eastAsia="Times New Roman" w:hAnsi="Calibri" w:cs="Calibri"/>
          <w:lang w:eastAsia="sl-SI"/>
        </w:rPr>
        <w:t>za obračun</w:t>
      </w:r>
      <w:r w:rsidR="002C367B" w:rsidRPr="006824CE">
        <w:t xml:space="preserve"> </w:t>
      </w:r>
      <w:r w:rsidR="002C367B" w:rsidRPr="00FF0A09">
        <w:rPr>
          <w:rFonts w:ascii="Calibri" w:eastAsia="Times New Roman" w:hAnsi="Calibri" w:cs="Calibri"/>
          <w:lang w:eastAsia="sl-SI"/>
        </w:rPr>
        <w:t>preventivnega ultrazvoka za oceno plodove rasti</w:t>
      </w:r>
      <w:r w:rsidR="002C367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sprejel</w:t>
      </w:r>
      <w:r w:rsidR="00DE06E3" w:rsidRPr="009C4387">
        <w:rPr>
          <w:rFonts w:eastAsia="Calibri" w:cstheme="minorHAnsi"/>
        </w:rPr>
        <w:t xml:space="preserve"> </w:t>
      </w:r>
      <w:r w:rsidR="00DE06E3">
        <w:rPr>
          <w:rFonts w:eastAsia="Calibri" w:cstheme="minorHAnsi"/>
        </w:rPr>
        <w:t xml:space="preserve">dopolnitev </w:t>
      </w:r>
      <w:r w:rsidR="00DE06E3" w:rsidRPr="009C4387">
        <w:rPr>
          <w:rFonts w:eastAsia="Calibri" w:cstheme="minorHAnsi"/>
        </w:rPr>
        <w:t>opis</w:t>
      </w:r>
      <w:r w:rsidR="00DE06E3">
        <w:rPr>
          <w:rFonts w:eastAsia="Calibri" w:cstheme="minorHAnsi"/>
        </w:rPr>
        <w:t>a</w:t>
      </w:r>
      <w:r w:rsidR="00DE06E3" w:rsidRPr="009C4387">
        <w:rPr>
          <w:rFonts w:eastAsia="Calibri" w:cstheme="minorHAnsi"/>
        </w:rPr>
        <w:t xml:space="preserve"> storitve K1023 </w:t>
      </w:r>
      <w:r w:rsidR="00DE06E3">
        <w:rPr>
          <w:rFonts w:eastAsia="Calibri" w:cstheme="minorHAnsi"/>
        </w:rPr>
        <w:t>»</w:t>
      </w:r>
      <w:r w:rsidR="00DE06E3" w:rsidRPr="009C4387">
        <w:rPr>
          <w:rFonts w:eastAsia="Calibri" w:cstheme="minorHAnsi"/>
        </w:rPr>
        <w:t>Posegi IV</w:t>
      </w:r>
      <w:r w:rsidR="00DE06E3">
        <w:rPr>
          <w:rFonts w:eastAsia="Calibri" w:cstheme="minorHAnsi"/>
        </w:rPr>
        <w:t>«</w:t>
      </w:r>
      <w:r w:rsidR="00DE06E3" w:rsidRPr="009C4387">
        <w:rPr>
          <w:rFonts w:eastAsia="Calibri" w:cstheme="minorHAnsi"/>
        </w:rPr>
        <w:t xml:space="preserve"> tako, da se črta določilo o dosedanjem zgolj kurativnem namenu te storitve.</w:t>
      </w:r>
    </w:p>
    <w:p w14:paraId="51FB7461" w14:textId="77777777" w:rsidR="00DE06E3" w:rsidRDefault="00DE06E3" w:rsidP="00074E44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36AC9431" w14:textId="77777777" w:rsidR="00DE06E3" w:rsidRPr="00FF0A09" w:rsidRDefault="00DE06E3" w:rsidP="00074E44">
      <w:pPr>
        <w:spacing w:after="0" w:line="240" w:lineRule="auto"/>
        <w:jc w:val="both"/>
        <w:rPr>
          <w:rFonts w:ascii="Calibri" w:hAnsi="Calibri"/>
          <w:b/>
          <w:bCs/>
        </w:rPr>
      </w:pPr>
      <w:r w:rsidRPr="00FF0A09">
        <w:rPr>
          <w:rFonts w:ascii="Calibri" w:hAnsi="Calibri"/>
          <w:b/>
          <w:bCs/>
        </w:rPr>
        <w:t>Navodilo za obračun</w:t>
      </w:r>
    </w:p>
    <w:p w14:paraId="15BDE54F" w14:textId="77777777" w:rsidR="00DE06E3" w:rsidRPr="00FF0A09" w:rsidRDefault="00DE06E3" w:rsidP="00074E44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0A84AF2" w14:textId="12310B3B" w:rsidR="004D179C" w:rsidRDefault="004D179C" w:rsidP="00074E44">
      <w:pPr>
        <w:spacing w:after="0" w:line="240" w:lineRule="auto"/>
        <w:jc w:val="both"/>
        <w:rPr>
          <w:rFonts w:eastAsia="Calibri" w:cstheme="minorHAnsi"/>
        </w:rPr>
      </w:pPr>
      <w:r>
        <w:rPr>
          <w:rFonts w:ascii="Calibri" w:eastAsia="Times New Roman" w:hAnsi="Calibri" w:cs="Calibri"/>
          <w:lang w:eastAsia="sl-SI"/>
        </w:rPr>
        <w:t xml:space="preserve">Novo storitev </w:t>
      </w:r>
      <w:r w:rsidRPr="009C4387">
        <w:rPr>
          <w:rFonts w:eastAsia="Calibri" w:cstheme="minorHAnsi"/>
        </w:rPr>
        <w:t xml:space="preserve">K1060 </w:t>
      </w:r>
      <w:r>
        <w:rPr>
          <w:rFonts w:eastAsia="Calibri" w:cstheme="minorHAnsi"/>
        </w:rPr>
        <w:t>»</w:t>
      </w:r>
      <w:r w:rsidRPr="009C4387">
        <w:rPr>
          <w:rFonts w:eastAsia="Calibri" w:cstheme="minorHAnsi"/>
        </w:rPr>
        <w:t>Presejalni test</w:t>
      </w:r>
      <w:r>
        <w:rPr>
          <w:rFonts w:eastAsia="Calibri" w:cstheme="minorHAnsi"/>
        </w:rPr>
        <w:t>« uvajamo v seznam storitev 15.2</w:t>
      </w:r>
      <w:r w:rsidR="0045545B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»</w:t>
      </w:r>
      <w:r w:rsidR="0045545B" w:rsidRPr="0045545B">
        <w:rPr>
          <w:rFonts w:eastAsia="Calibri" w:cstheme="minorHAnsi"/>
        </w:rPr>
        <w:t>Storitve v ginekologiji na primarni ravni (306 007)</w:t>
      </w:r>
      <w:r>
        <w:rPr>
          <w:rFonts w:eastAsia="Calibri" w:cstheme="minorHAnsi"/>
        </w:rPr>
        <w:t xml:space="preserve">«. Prav tako v tem seznamu dopolnjujemo opis storitve </w:t>
      </w:r>
      <w:r w:rsidRPr="009C4387">
        <w:rPr>
          <w:rFonts w:eastAsia="Calibri" w:cstheme="minorHAnsi"/>
        </w:rPr>
        <w:t xml:space="preserve">K1023 </w:t>
      </w:r>
      <w:r>
        <w:rPr>
          <w:rFonts w:eastAsia="Calibri" w:cstheme="minorHAnsi"/>
        </w:rPr>
        <w:t>»</w:t>
      </w:r>
      <w:r w:rsidRPr="009C4387">
        <w:rPr>
          <w:rFonts w:eastAsia="Calibri" w:cstheme="minorHAnsi"/>
        </w:rPr>
        <w:t>Posegi IV</w:t>
      </w:r>
      <w:r>
        <w:rPr>
          <w:rFonts w:eastAsia="Calibri" w:cstheme="minorHAnsi"/>
        </w:rPr>
        <w:t>« kot sledi (spremembe so označene s krepko pisavo):</w:t>
      </w:r>
    </w:p>
    <w:p w14:paraId="7E889452" w14:textId="58AF0F57" w:rsidR="0045545B" w:rsidRDefault="0045545B" w:rsidP="00074E44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153"/>
        <w:gridCol w:w="4681"/>
        <w:gridCol w:w="1084"/>
        <w:gridCol w:w="900"/>
        <w:gridCol w:w="1134"/>
      </w:tblGrid>
      <w:tr w:rsidR="00A9494C" w:rsidRPr="00C531E0" w14:paraId="0AC2B47C" w14:textId="0C59492B" w:rsidTr="00A9494C">
        <w:trPr>
          <w:trHeight w:val="340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494" w14:textId="77777777" w:rsidR="00A9494C" w:rsidRPr="006E40A8" w:rsidRDefault="00A9494C" w:rsidP="006E40A8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6E40A8">
              <w:rPr>
                <w:rFonts w:cstheme="minorHAnsi"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126" w14:textId="77777777" w:rsidR="00A9494C" w:rsidRPr="006E40A8" w:rsidRDefault="00A9494C" w:rsidP="006E40A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169" w14:textId="77777777" w:rsidR="00A9494C" w:rsidRPr="006E40A8" w:rsidRDefault="00A9494C" w:rsidP="006E40A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Dolg opis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FD4E" w14:textId="285557F4" w:rsidR="00A9494C" w:rsidRPr="006E40A8" w:rsidRDefault="00A9494C" w:rsidP="006E40A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Naziv enote mere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5E74" w14:textId="6D1BFEBC" w:rsidR="00A9494C" w:rsidRPr="006E40A8" w:rsidRDefault="00A9494C" w:rsidP="006E40A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Št. enot mere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89D22" w14:textId="589835A0" w:rsidR="00A9494C" w:rsidRPr="006E40A8" w:rsidRDefault="00A9494C" w:rsidP="006E40A8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Zahtevnost</w:t>
            </w:r>
          </w:p>
        </w:tc>
      </w:tr>
      <w:tr w:rsidR="00A9494C" w:rsidRPr="00C531E0" w14:paraId="415CA5D0" w14:textId="78D4E302" w:rsidTr="00A9494C">
        <w:trPr>
          <w:trHeight w:val="3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BCA1" w14:textId="7D46C2B8" w:rsidR="00A9494C" w:rsidRPr="006E40A8" w:rsidRDefault="00A9494C" w:rsidP="006E40A8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E40A8">
              <w:rPr>
                <w:rFonts w:cstheme="minorHAnsi"/>
                <w:b/>
                <w:bCs/>
                <w:sz w:val="20"/>
                <w:szCs w:val="20"/>
              </w:rPr>
              <w:t>K1060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668D" w14:textId="1EA90B1A" w:rsidR="00A9494C" w:rsidRPr="006E40A8" w:rsidRDefault="00A9494C" w:rsidP="006E40A8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E40A8">
              <w:rPr>
                <w:rFonts w:cstheme="minorHAnsi"/>
                <w:b/>
                <w:bCs/>
                <w:sz w:val="20"/>
                <w:szCs w:val="20"/>
              </w:rPr>
              <w:t>Presejalni test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DE94" w14:textId="561B9A78" w:rsidR="00A9494C" w:rsidRPr="006E40A8" w:rsidRDefault="00A9494C" w:rsidP="006E40A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E40A8">
              <w:rPr>
                <w:rFonts w:cstheme="minorHAnsi"/>
                <w:b/>
                <w:bCs/>
                <w:sz w:val="20"/>
                <w:szCs w:val="20"/>
              </w:rPr>
              <w:t>Presejalni test je test presejanja žensk v nosečnosti, po porodu ali prekinitvi nosečnosti za depresivne in anksiozne motnje, odvisnost in nasilje v družini. Vključuje posvet na daljavo ali pogovor do 20 minut (osebno, po telefonu, po elektronski pošti, po videopovezavi, telemedicina). Storitev se izvaja skladno s priporočili za izvajanje presejalnih testov, ki jih je izdalo Združenje za perinatalno medicino pri Slovenskem zdravniškem društvu. Storitev vključuje vse aktivnosti, povezane s presejanjem. V medicinski dokumentaciji se navede datum testa, rezultat presejanja in ugotovitve ter morebitne napotitve zdravnika specialista. Storitev se lahko obračuna poleg pregleda.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6F7E" w14:textId="7C01C601" w:rsidR="00A9494C" w:rsidRPr="006E40A8" w:rsidRDefault="00A9494C" w:rsidP="006E40A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E40A8">
              <w:rPr>
                <w:rFonts w:cstheme="minorHAnsi"/>
                <w:b/>
                <w:bCs/>
                <w:sz w:val="20"/>
                <w:szCs w:val="20"/>
              </w:rPr>
              <w:t>Količnik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DEBD" w14:textId="6B162173" w:rsidR="00A9494C" w:rsidRPr="006E40A8" w:rsidRDefault="00A9494C" w:rsidP="006E40A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E40A8">
              <w:rPr>
                <w:rFonts w:cstheme="minorHAns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B146" w14:textId="6CAEA98D" w:rsidR="00A9494C" w:rsidRPr="006E40A8" w:rsidRDefault="00A9494C" w:rsidP="006E40A8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</w:tr>
    </w:tbl>
    <w:p w14:paraId="1A51F26F" w14:textId="77777777" w:rsidR="006E40A8" w:rsidRDefault="006E40A8" w:rsidP="006E40A8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850"/>
        <w:gridCol w:w="993"/>
        <w:gridCol w:w="992"/>
        <w:gridCol w:w="850"/>
      </w:tblGrid>
      <w:tr w:rsidR="00A9494C" w:rsidRPr="00C531E0" w14:paraId="58884984" w14:textId="77777777" w:rsidTr="00C95321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F5D" w14:textId="77777777" w:rsidR="00A9494C" w:rsidRPr="006E40A8" w:rsidRDefault="00A9494C" w:rsidP="00A9494C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Oznaka količine</w:t>
            </w:r>
          </w:p>
          <w:p w14:paraId="635257D5" w14:textId="77777777" w:rsidR="00A9494C" w:rsidRPr="006E40A8" w:rsidRDefault="00A9494C" w:rsidP="00A9494C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(1 - kol. je 1;</w:t>
            </w:r>
          </w:p>
          <w:p w14:paraId="54CE45F1" w14:textId="6900774B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2 – dejanska kol.)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228B" w14:textId="1CA8D72B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Maksimalno dovoljeno št. storitev na obravnavo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DC52" w14:textId="5CDC8211" w:rsidR="00A9494C" w:rsidRPr="006E40A8" w:rsidRDefault="00A9494C" w:rsidP="00A9494C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Oznaka storitve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001D" w14:textId="6D191D49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Oznaka cene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5FED" w14:textId="53B30160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Tip storitve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0FFE" w14:textId="1C29DF92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Evidenčna storitev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B8" w14:textId="01E620B7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i/>
                <w:iCs/>
                <w:sz w:val="20"/>
                <w:szCs w:val="20"/>
              </w:rPr>
              <w:t>Nivo planiranja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C85" w14:textId="728C16BE" w:rsidR="00A9494C" w:rsidRPr="006E40A8" w:rsidRDefault="00A9494C" w:rsidP="00A9494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Šifrant 43</w:t>
            </w:r>
          </w:p>
        </w:tc>
      </w:tr>
      <w:tr w:rsidR="00A9494C" w:rsidRPr="005B2913" w14:paraId="261C3F9D" w14:textId="77777777" w:rsidTr="00C95321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2690" w14:textId="2D7D9068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6BCE" w14:textId="0868C1F9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3A9" w14:textId="5656DBD8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 - neopredeljeno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84D3" w14:textId="77DDBB09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C953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cena je enaka ceni v ceniku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B5D" w14:textId="66BEBCAD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KOL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3A3C" w14:textId="7EC0A6F8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0CA0" w14:textId="09E79B91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40A8">
              <w:rPr>
                <w:rFonts w:ascii="Calibri" w:hAnsi="Calibri" w:cs="Calibri"/>
                <w:b/>
                <w:bCs/>
                <w:sz w:val="20"/>
                <w:szCs w:val="20"/>
              </w:rPr>
              <w:t>Z0031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47A3" w14:textId="5DDEFE41" w:rsidR="00A9494C" w:rsidRPr="00607CDC" w:rsidRDefault="00A9494C" w:rsidP="00A9494C">
            <w:pPr>
              <w:spacing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6E40A8">
              <w:rPr>
                <w:rFonts w:ascii="Calibri" w:hAnsi="Calibri" w:cs="Calibri"/>
                <w:b/>
                <w:bCs/>
                <w:sz w:val="20"/>
                <w:szCs w:val="20"/>
              </w:rPr>
              <w:t>Z0031</w:t>
            </w:r>
          </w:p>
        </w:tc>
      </w:tr>
    </w:tbl>
    <w:p w14:paraId="4EEC58B1" w14:textId="6A745014" w:rsidR="0045545B" w:rsidRDefault="0045545B" w:rsidP="00074E44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B310D60" w14:textId="73DAC3E2" w:rsidR="00E91F55" w:rsidRDefault="00E91F55" w:rsidP="00074E44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49"/>
        <w:gridCol w:w="7766"/>
      </w:tblGrid>
      <w:tr w:rsidR="00E91F55" w:rsidRPr="006E40A8" w14:paraId="5174851D" w14:textId="77777777" w:rsidTr="00E91F55">
        <w:trPr>
          <w:trHeight w:val="340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357" w14:textId="77777777" w:rsidR="00E91F55" w:rsidRPr="006E40A8" w:rsidRDefault="00E91F55" w:rsidP="00861064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6E40A8">
              <w:rPr>
                <w:rFonts w:cstheme="minorHAnsi"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935" w14:textId="77777777" w:rsidR="00E91F55" w:rsidRPr="006E40A8" w:rsidRDefault="00E91F55" w:rsidP="00861064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F9C" w14:textId="77777777" w:rsidR="00E91F55" w:rsidRPr="006E40A8" w:rsidRDefault="00E91F55" w:rsidP="00861064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E40A8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Dolg opis</w:t>
            </w:r>
          </w:p>
        </w:tc>
      </w:tr>
      <w:tr w:rsidR="00E91F55" w:rsidRPr="006E40A8" w14:paraId="1059E465" w14:textId="77777777" w:rsidTr="00E91F55">
        <w:trPr>
          <w:trHeight w:val="3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7BCE" w14:textId="15F80B87" w:rsidR="00E91F55" w:rsidRPr="00E91F55" w:rsidRDefault="00E91F55" w:rsidP="00E91F55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E91F55">
              <w:rPr>
                <w:rFonts w:cstheme="minorHAnsi"/>
                <w:sz w:val="20"/>
                <w:szCs w:val="20"/>
              </w:rPr>
              <w:t>K1023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789C" w14:textId="6D7342AF" w:rsidR="00E91F55" w:rsidRPr="00E91F55" w:rsidRDefault="00E91F55" w:rsidP="00E91F55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1F55">
              <w:rPr>
                <w:rFonts w:cstheme="minorHAnsi"/>
                <w:sz w:val="20"/>
                <w:szCs w:val="20"/>
              </w:rPr>
              <w:t>Posegi IV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CC5D" w14:textId="2C0F2B47" w:rsidR="00E91F55" w:rsidRPr="00E91F55" w:rsidRDefault="00E91F55" w:rsidP="00E91F55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E91F55">
              <w:rPr>
                <w:rFonts w:cstheme="minorHAnsi"/>
                <w:sz w:val="20"/>
                <w:szCs w:val="20"/>
              </w:rPr>
              <w:t>V primeru, ko osebni izbrani ginekolog na podlagi medicinske indikacije opravi poseg, ga evidentira in obračuna – razlog in poseg morata biti razvidna iz ginekološke dokumentacije: UZ preiskavo - morfologija ploda (pri dvojčkih se beleži dvakrat) ali merjenje pretokov (v nosečnosti in pri ovarijskih tumorjih); UZ kontrolo rasti ploda</w:t>
            </w:r>
            <w:r w:rsidRPr="00E91F5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91F55">
              <w:rPr>
                <w:rFonts w:cstheme="minorHAnsi"/>
                <w:b/>
                <w:bCs/>
                <w:strike/>
                <w:sz w:val="20"/>
                <w:szCs w:val="20"/>
              </w:rPr>
              <w:t>iz kurativnega namena</w:t>
            </w:r>
            <w:r w:rsidRPr="00E91F55">
              <w:rPr>
                <w:rFonts w:cstheme="minorHAnsi"/>
                <w:sz w:val="20"/>
                <w:szCs w:val="20"/>
              </w:rPr>
              <w:t xml:space="preserve"> (pri dvojčkih se beleži dvakrat), endometrijsko aspiracijo. V medicinski dokumentaciji morajo biti zabeleženi vsi parametri merjenja ploda in opisi vidnih organov ali opis endometrijske aspiracije.</w:t>
            </w:r>
          </w:p>
        </w:tc>
      </w:tr>
    </w:tbl>
    <w:p w14:paraId="0FC76F27" w14:textId="77777777" w:rsidR="00DE06E3" w:rsidRDefault="00DE06E3" w:rsidP="00074E44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0FFD43A" w14:textId="37B7FBE8" w:rsidR="00DE06E3" w:rsidRPr="00FF0A09" w:rsidRDefault="00DE06E3" w:rsidP="00074E44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FF0A09">
        <w:rPr>
          <w:rFonts w:ascii="Calibri" w:eastAsia="Calibri" w:hAnsi="Calibri" w:cs="Arial"/>
          <w:color w:val="000000"/>
        </w:rPr>
        <w:t>Spremembe veljajo za storitve, opravljene od 1</w:t>
      </w:r>
      <w:r w:rsidR="009A4D1D">
        <w:rPr>
          <w:rFonts w:ascii="Calibri" w:eastAsia="Calibri" w:hAnsi="Calibri" w:cs="Arial"/>
          <w:color w:val="000000"/>
        </w:rPr>
        <w:t xml:space="preserve">. </w:t>
      </w:r>
      <w:r w:rsidRPr="00FF0A09">
        <w:rPr>
          <w:rFonts w:ascii="Calibri" w:eastAsia="Calibri" w:hAnsi="Calibri" w:cs="Arial"/>
          <w:color w:val="000000"/>
        </w:rPr>
        <w:t>5. 2023 dalje.</w:t>
      </w:r>
    </w:p>
    <w:p w14:paraId="217DBA98" w14:textId="77777777" w:rsidR="00DE06E3" w:rsidRPr="00FF0A09" w:rsidRDefault="00DE06E3" w:rsidP="00074E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6F6C2711" w14:textId="77777777" w:rsidR="00DE06E3" w:rsidRPr="00FF0A09" w:rsidRDefault="00DE06E3" w:rsidP="00074E4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FF0A09">
        <w:rPr>
          <w:rFonts w:ascii="Calibri" w:eastAsia="Times New Roman" w:hAnsi="Calibri" w:cs="Arial"/>
          <w:lang w:eastAsia="sl-SI"/>
        </w:rPr>
        <w:t>Kontaktna oseba za vsebinska vprašanja:</w:t>
      </w:r>
    </w:p>
    <w:p w14:paraId="5A7BA429" w14:textId="5CBD309A" w:rsidR="00DE06E3" w:rsidRDefault="00DE06E3" w:rsidP="007A08B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FF0A09">
        <w:rPr>
          <w:rFonts w:ascii="Calibri" w:eastAsia="Times New Roman" w:hAnsi="Calibri" w:cs="Arial"/>
          <w:lang w:eastAsia="sl-SI"/>
        </w:rPr>
        <w:t xml:space="preserve">Karmen Grom Kenk </w:t>
      </w:r>
      <w:r w:rsidRPr="00FF0A09">
        <w:rPr>
          <w:rFonts w:ascii="Calibri" w:eastAsia="Times New Roman" w:hAnsi="Calibri" w:cs="Calibri"/>
          <w:lang w:eastAsia="sl-SI"/>
        </w:rPr>
        <w:t>(</w:t>
      </w:r>
      <w:hyperlink r:id="rId13" w:history="1">
        <w:r w:rsidRPr="00FF0A09">
          <w:rPr>
            <w:rFonts w:ascii="Calibri" w:eastAsia="Times New Roman" w:hAnsi="Calibri" w:cs="Calibri"/>
            <w:color w:val="0563C1" w:themeColor="hyperlink"/>
            <w:u w:val="single"/>
            <w:lang w:eastAsia="sl-SI"/>
          </w:rPr>
          <w:t>karmen.grom-kenk@zzzs.si</w:t>
        </w:r>
      </w:hyperlink>
      <w:r w:rsidRPr="00FF0A09">
        <w:rPr>
          <w:rFonts w:ascii="Calibri" w:eastAsia="Times New Roman" w:hAnsi="Calibri" w:cs="Calibri"/>
          <w:lang w:eastAsia="sl-SI"/>
        </w:rPr>
        <w:t>; 01/30-77-340)</w:t>
      </w:r>
    </w:p>
    <w:p w14:paraId="60FE7BFB" w14:textId="1DE72593" w:rsidR="007A08BA" w:rsidRDefault="007A08BA" w:rsidP="007A08B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79946A1" w14:textId="77777777" w:rsidR="007A08BA" w:rsidRPr="007A08BA" w:rsidRDefault="007A08BA" w:rsidP="007A08B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5A63C75" w14:textId="50AF0B96" w:rsidR="007839DA" w:rsidRPr="007839DA" w:rsidRDefault="007839DA" w:rsidP="007839DA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10" w:name="_Toc135648850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Ambulante za neopredeljene – kontrola starostne omejitve in ukinitev beleženja storitev K0010, K0013 in K0015 s 1. 6. 2023</w:t>
      </w:r>
      <w:bookmarkEnd w:id="10"/>
    </w:p>
    <w:p w14:paraId="52DD91B5" w14:textId="77777777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770F46AF" w14:textId="155E0474" w:rsidR="007839DA" w:rsidRPr="00A81EB8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 w:rsidRPr="00A81EB8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Vsem 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ambulantam za neopredeljene zavarovane osebe</w:t>
      </w:r>
    </w:p>
    <w:p w14:paraId="2017AE99" w14:textId="77777777" w:rsidR="007839DA" w:rsidRPr="00A81EB8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4AD05A78" w14:textId="44187B54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A81EB8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7A4023FF" w14:textId="1B9C6AC9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77EDA104" w14:textId="2B1EC061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(ZNUNBZ) določa, da lahko v ambulantah za neopredeljene zavarovane osebe uveljavljajo pravice iz obveznega zdravstvenega zavarovanja le osebe, starejše od 19. let, brez splošnega osebnega zdravnika.</w:t>
      </w:r>
    </w:p>
    <w:p w14:paraId="55C71D9B" w14:textId="52C7B161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51ECA98F" w14:textId="00D2A5CD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Skladno z navedenim </w:t>
      </w:r>
      <w:r w:rsidR="00867DDE">
        <w:rPr>
          <w:rFonts w:ascii="Calibri" w:eastAsia="Calibri" w:hAnsi="Calibri" w:cs="Arial"/>
          <w:color w:val="000000"/>
          <w:lang w:eastAsia="sl-SI"/>
        </w:rPr>
        <w:t xml:space="preserve">v ambulantah za neopredeljene </w:t>
      </w:r>
      <w:r>
        <w:rPr>
          <w:rFonts w:ascii="Calibri" w:eastAsia="Calibri" w:hAnsi="Calibri" w:cs="Arial"/>
          <w:color w:val="000000"/>
          <w:lang w:eastAsia="sl-SI"/>
        </w:rPr>
        <w:t>s 1. 6. 2023 uvajamo kontrolo starosti.</w:t>
      </w:r>
    </w:p>
    <w:p w14:paraId="2848FCE2" w14:textId="131A2A65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6DD91252" w14:textId="1EC51B47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Hkrati </w:t>
      </w:r>
      <w:r w:rsidR="00867DDE">
        <w:rPr>
          <w:rFonts w:ascii="Calibri" w:eastAsia="Calibri" w:hAnsi="Calibri" w:cs="Arial"/>
          <w:color w:val="000000"/>
          <w:lang w:eastAsia="sl-SI"/>
        </w:rPr>
        <w:t>v dejavnosti 302 067 »</w:t>
      </w:r>
      <w:r w:rsidR="00867DDE" w:rsidRPr="00E60B70">
        <w:rPr>
          <w:rFonts w:ascii="Calibri" w:eastAsia="Calibri" w:hAnsi="Calibri" w:cs="Arial"/>
          <w:color w:val="000000"/>
          <w:lang w:eastAsia="sl-SI"/>
        </w:rPr>
        <w:t>Splošna ambulanta za neopredeljene zavarovane osebe</w:t>
      </w:r>
      <w:r w:rsidR="00867DDE">
        <w:rPr>
          <w:rFonts w:ascii="Calibri" w:eastAsia="Calibri" w:hAnsi="Calibri" w:cs="Arial"/>
          <w:color w:val="000000"/>
          <w:lang w:eastAsia="sl-SI"/>
        </w:rPr>
        <w:t xml:space="preserve">« </w:t>
      </w:r>
      <w:r w:rsidR="00570A79">
        <w:rPr>
          <w:rFonts w:ascii="Calibri" w:eastAsia="Calibri" w:hAnsi="Calibri" w:cs="Arial"/>
          <w:color w:val="000000"/>
          <w:lang w:eastAsia="sl-SI"/>
        </w:rPr>
        <w:t>ukinjamo možnost beleženja storitev:</w:t>
      </w:r>
    </w:p>
    <w:p w14:paraId="0DD3D27E" w14:textId="0EDA2F40" w:rsidR="00570A79" w:rsidRDefault="00570A79" w:rsidP="00570A79">
      <w:pPr>
        <w:pStyle w:val="Odstavekseznama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K0010 »</w:t>
      </w:r>
      <w:r w:rsidRPr="00570A79">
        <w:rPr>
          <w:rFonts w:ascii="Calibri" w:eastAsia="Times New Roman" w:hAnsi="Calibri" w:cs="Calibri"/>
          <w:lang w:eastAsia="sl-SI"/>
        </w:rPr>
        <w:t>Pregled pred cepljenjem otroka do 7. leta</w:t>
      </w:r>
      <w:r>
        <w:rPr>
          <w:rFonts w:ascii="Calibri" w:eastAsia="Times New Roman" w:hAnsi="Calibri" w:cs="Calibri"/>
          <w:lang w:eastAsia="sl-SI"/>
        </w:rPr>
        <w:t>«,</w:t>
      </w:r>
    </w:p>
    <w:p w14:paraId="3CB73515" w14:textId="412CB845" w:rsidR="00570A79" w:rsidRDefault="00570A79" w:rsidP="00570A79">
      <w:pPr>
        <w:pStyle w:val="Odstavekseznama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K0013 »</w:t>
      </w:r>
      <w:r w:rsidRPr="00570A79">
        <w:rPr>
          <w:rFonts w:ascii="Calibri" w:eastAsia="Times New Roman" w:hAnsi="Calibri" w:cs="Calibri"/>
          <w:lang w:eastAsia="sl-SI"/>
        </w:rPr>
        <w:t>Pregled otroka pred vstopom v VVO</w:t>
      </w:r>
      <w:r>
        <w:rPr>
          <w:rFonts w:ascii="Calibri" w:eastAsia="Times New Roman" w:hAnsi="Calibri" w:cs="Calibri"/>
          <w:lang w:eastAsia="sl-SI"/>
        </w:rPr>
        <w:t>« in</w:t>
      </w:r>
    </w:p>
    <w:p w14:paraId="3DCBC331" w14:textId="03A6C9ED" w:rsidR="00570A79" w:rsidRPr="00570A79" w:rsidRDefault="00570A79" w:rsidP="00570A79">
      <w:pPr>
        <w:pStyle w:val="Odstavekseznama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K0015 »</w:t>
      </w:r>
      <w:r w:rsidRPr="00570A79">
        <w:rPr>
          <w:rFonts w:ascii="Calibri" w:eastAsia="Times New Roman" w:hAnsi="Calibri" w:cs="Calibri"/>
          <w:lang w:eastAsia="sl-SI"/>
        </w:rPr>
        <w:t>Namenski pregled dojenčka pri 2 mesecih</w:t>
      </w:r>
      <w:r>
        <w:rPr>
          <w:rFonts w:ascii="Calibri" w:eastAsia="Times New Roman" w:hAnsi="Calibri" w:cs="Calibri"/>
          <w:lang w:eastAsia="sl-SI"/>
        </w:rPr>
        <w:t>«.</w:t>
      </w:r>
    </w:p>
    <w:p w14:paraId="7D20AE4E" w14:textId="77777777" w:rsidR="00570A79" w:rsidRPr="00A81EB8" w:rsidRDefault="00570A79" w:rsidP="00570A79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69CBD5AD" w14:textId="205FE42B" w:rsidR="00570A79" w:rsidRDefault="00570A79" w:rsidP="00570A7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A81EB8">
        <w:rPr>
          <w:rFonts w:eastAsia="Times New Roman" w:cstheme="minorHAnsi"/>
          <w:b/>
          <w:bCs/>
          <w:color w:val="000000"/>
          <w:lang w:eastAsia="sl-SI"/>
        </w:rPr>
        <w:t xml:space="preserve">Navodilo za obračun </w:t>
      </w:r>
    </w:p>
    <w:p w14:paraId="19C10709" w14:textId="77777777" w:rsidR="00570A79" w:rsidRPr="00570A79" w:rsidRDefault="00570A79" w:rsidP="00570A7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7D4069ED" w14:textId="52EEE317" w:rsidR="00570A79" w:rsidRDefault="00570A79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70A79">
        <w:rPr>
          <w:rFonts w:ascii="Calibri" w:eastAsia="Times New Roman" w:hAnsi="Calibri" w:cs="Calibri"/>
          <w:lang w:eastAsia="sl-SI"/>
        </w:rPr>
        <w:t>Kontrolo starosti uvajamo v povezovalnem šifrantu K37.1 »</w:t>
      </w:r>
      <w:r w:rsidR="00213C52" w:rsidRPr="00213C52">
        <w:rPr>
          <w:rFonts w:ascii="Calibri" w:eastAsia="Times New Roman" w:hAnsi="Calibri" w:cs="Calibri"/>
          <w:lang w:eastAsia="sl-SI"/>
        </w:rPr>
        <w:t>Starostne omejitve po vrstah in podvrstah zdravstvenih dejavnosti</w:t>
      </w:r>
      <w:r w:rsidRPr="00570A79">
        <w:rPr>
          <w:rFonts w:ascii="Calibri" w:eastAsia="Times New Roman" w:hAnsi="Calibri" w:cs="Calibri"/>
          <w:lang w:eastAsia="sl-SI"/>
        </w:rPr>
        <w:t>« kot sledi:</w:t>
      </w:r>
    </w:p>
    <w:p w14:paraId="7C0F862A" w14:textId="77777777" w:rsidR="00570A79" w:rsidRPr="00570A79" w:rsidRDefault="00570A79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71"/>
        <w:gridCol w:w="578"/>
        <w:gridCol w:w="5201"/>
        <w:gridCol w:w="993"/>
        <w:gridCol w:w="992"/>
      </w:tblGrid>
      <w:tr w:rsidR="00A26225" w:rsidRPr="00B27A47" w14:paraId="68CC5329" w14:textId="77777777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67E93E2D" w14:textId="2F47D066" w:rsidR="00A26225" w:rsidRPr="00A26225" w:rsidRDefault="00A26225" w:rsidP="00A26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sz w:val="20"/>
                <w:szCs w:val="20"/>
                <w:lang w:eastAsia="sl-SI"/>
              </w:rPr>
              <w:t>Šifra zdr. dej.</w:t>
            </w:r>
          </w:p>
        </w:tc>
        <w:tc>
          <w:tcPr>
            <w:tcW w:w="6350" w:type="dxa"/>
            <w:gridSpan w:val="3"/>
            <w:shd w:val="clear" w:color="auto" w:fill="auto"/>
            <w:vAlign w:val="bottom"/>
          </w:tcPr>
          <w:p w14:paraId="7A033629" w14:textId="5207BB71" w:rsidR="00A26225" w:rsidRPr="00A26225" w:rsidRDefault="00A26225" w:rsidP="00A26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sz w:val="20"/>
                <w:szCs w:val="20"/>
                <w:lang w:eastAsia="sl-SI"/>
              </w:rPr>
              <w:t>Vrsta dejavnosti, podvrsta dejavnosti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1BFB9" w14:textId="0259ED93" w:rsidR="00A26225" w:rsidRPr="00A26225" w:rsidRDefault="00A26225" w:rsidP="00A26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Starost v letih OD</w:t>
            </w:r>
          </w:p>
        </w:tc>
        <w:tc>
          <w:tcPr>
            <w:tcW w:w="992" w:type="dxa"/>
            <w:vAlign w:val="center"/>
          </w:tcPr>
          <w:p w14:paraId="3D650DB9" w14:textId="4EFBD035" w:rsidR="00A26225" w:rsidRPr="00A26225" w:rsidRDefault="00A26225" w:rsidP="00A26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Starost v letih DO</w:t>
            </w:r>
          </w:p>
        </w:tc>
      </w:tr>
      <w:tr w:rsidR="00A26225" w:rsidRPr="00B27A47" w14:paraId="22E86FCD" w14:textId="0ADA159F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427FB5D4" w14:textId="77777777" w:rsidR="00A26225" w:rsidRPr="00A26225" w:rsidRDefault="00A26225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6350" w:type="dxa"/>
            <w:gridSpan w:val="3"/>
            <w:shd w:val="clear" w:color="auto" w:fill="auto"/>
            <w:vAlign w:val="bottom"/>
          </w:tcPr>
          <w:p w14:paraId="63D39F15" w14:textId="77777777" w:rsidR="00A26225" w:rsidRPr="00A26225" w:rsidRDefault="00A26225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6F5A50" w14:textId="3D64EC8D" w:rsidR="00A26225" w:rsidRPr="00A26225" w:rsidRDefault="00A26225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6B7C1BF2" w14:textId="77777777" w:rsidR="00A26225" w:rsidRPr="00A26225" w:rsidRDefault="00A26225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A26225" w:rsidRPr="00B27A47" w14:paraId="695CC933" w14:textId="58730B47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4A15E2EA" w14:textId="7777777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44AF03DF" w14:textId="7EEE365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5779" w:type="dxa"/>
            <w:gridSpan w:val="2"/>
            <w:shd w:val="clear" w:color="auto" w:fill="auto"/>
            <w:vAlign w:val="bottom"/>
          </w:tcPr>
          <w:p w14:paraId="09346C30" w14:textId="1E70C978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in družinska medicina v splošni zunajbolnišnični dejavnosti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B272FAD" w14:textId="7777777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0848EEA" w14:textId="7777777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A26225" w:rsidRPr="00B27A47" w14:paraId="795E2873" w14:textId="6064AC3D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279FA310" w14:textId="7777777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323F681E" w14:textId="77777777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</w:tcPr>
          <w:p w14:paraId="458A0F6E" w14:textId="28CBCA71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067</w:t>
            </w:r>
          </w:p>
        </w:tc>
        <w:tc>
          <w:tcPr>
            <w:tcW w:w="5201" w:type="dxa"/>
            <w:shd w:val="clear" w:color="auto" w:fill="auto"/>
          </w:tcPr>
          <w:p w14:paraId="5C7EC234" w14:textId="11F13FB9" w:rsidR="00A26225" w:rsidRPr="00A26225" w:rsidRDefault="00A26225" w:rsidP="00213C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ambulanta za neopredeljene zavarovane osebe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D3D87" w14:textId="3EDB5687" w:rsidR="00A26225" w:rsidRPr="00A26225" w:rsidRDefault="00A26225" w:rsidP="00213C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92" w:type="dxa"/>
          </w:tcPr>
          <w:p w14:paraId="113082FE" w14:textId="0DAEB618" w:rsidR="00A26225" w:rsidRPr="00A26225" w:rsidRDefault="00A26225" w:rsidP="00213C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A26225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</w:t>
            </w:r>
          </w:p>
        </w:tc>
      </w:tr>
    </w:tbl>
    <w:p w14:paraId="0A45FF8C" w14:textId="1B9794FA" w:rsidR="007839DA" w:rsidRDefault="007839DA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15EF0E52" w14:textId="538D2653" w:rsidR="00FD6CC8" w:rsidRPr="00B27A47" w:rsidRDefault="00867DDE" w:rsidP="00867DDE">
      <w:pPr>
        <w:spacing w:after="0" w:line="240" w:lineRule="auto"/>
        <w:contextualSpacing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Dopolnjujemo </w:t>
      </w:r>
      <w:r w:rsidR="00FD6CC8" w:rsidRPr="00B27A47">
        <w:rPr>
          <w:rFonts w:ascii="Calibri" w:eastAsia="Calibri" w:hAnsi="Calibri" w:cs="Arial"/>
          <w:color w:val="000000"/>
        </w:rPr>
        <w:t>povezovalni šifrant K1 »Vrste zdravstvene dejavnosti in storitve za obračun«</w:t>
      </w:r>
      <w:r>
        <w:rPr>
          <w:rFonts w:ascii="Calibri" w:eastAsia="Calibri" w:hAnsi="Calibri" w:cs="Arial"/>
          <w:color w:val="000000"/>
        </w:rPr>
        <w:t xml:space="preserve"> kot sledi</w:t>
      </w:r>
      <w:r w:rsidR="00FD6CC8" w:rsidRPr="00B27A47">
        <w:rPr>
          <w:rFonts w:ascii="Calibri" w:eastAsia="Calibri" w:hAnsi="Calibri" w:cs="Arial"/>
          <w:color w:val="000000"/>
        </w:rPr>
        <w:t>:</w:t>
      </w:r>
    </w:p>
    <w:p w14:paraId="0F052780" w14:textId="77777777" w:rsidR="00FD6CC8" w:rsidRPr="00B27A47" w:rsidRDefault="00FD6CC8" w:rsidP="00FD6CC8">
      <w:pPr>
        <w:spacing w:after="0" w:line="240" w:lineRule="auto"/>
        <w:ind w:left="357"/>
        <w:contextualSpacing/>
        <w:jc w:val="both"/>
        <w:rPr>
          <w:rFonts w:ascii="Calibri" w:eastAsia="Calibri" w:hAnsi="Calibri" w:cs="Arial"/>
          <w:color w:val="000000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67"/>
        <w:gridCol w:w="574"/>
        <w:gridCol w:w="2954"/>
        <w:gridCol w:w="2255"/>
        <w:gridCol w:w="2037"/>
      </w:tblGrid>
      <w:tr w:rsidR="007B7A90" w:rsidRPr="00B27A47" w14:paraId="23DC52AD" w14:textId="1E688721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53C90675" w14:textId="77777777" w:rsidR="007B7A90" w:rsidRPr="00B27A47" w:rsidRDefault="007B7A90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B27A47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4095" w:type="dxa"/>
            <w:gridSpan w:val="3"/>
            <w:shd w:val="clear" w:color="auto" w:fill="auto"/>
            <w:vAlign w:val="bottom"/>
          </w:tcPr>
          <w:p w14:paraId="7C9EC860" w14:textId="77777777" w:rsidR="007B7A90" w:rsidRPr="00B27A47" w:rsidRDefault="007B7A90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B27A47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62098FBE" w14:textId="17F28568" w:rsidR="007B7A90" w:rsidRPr="00B27A47" w:rsidRDefault="007B7A90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Š</w:t>
            </w:r>
            <w:r w:rsidRPr="007B7A90">
              <w:rPr>
                <w:rFonts w:eastAsia="Times New Roman" w:cstheme="minorHAnsi"/>
                <w:sz w:val="20"/>
                <w:szCs w:val="20"/>
                <w:lang w:eastAsia="sl-SI"/>
              </w:rPr>
              <w:t>ifrant K1.3 - Storitve, kjer je oznaka 1 - MedZZ</w:t>
            </w:r>
          </w:p>
        </w:tc>
        <w:tc>
          <w:tcPr>
            <w:tcW w:w="2037" w:type="dxa"/>
          </w:tcPr>
          <w:p w14:paraId="2B14C18D" w14:textId="004BC239" w:rsidR="007B7A90" w:rsidRDefault="007B7A90" w:rsidP="008610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Š</w:t>
            </w:r>
            <w:r w:rsidRPr="007B7A90">
              <w:rPr>
                <w:rFonts w:eastAsia="Times New Roman" w:cstheme="minorHAnsi"/>
                <w:sz w:val="20"/>
                <w:szCs w:val="20"/>
                <w:lang w:eastAsia="sl-SI"/>
              </w:rPr>
              <w:t>ifrant K1.3 - Storitve, kjer je oznaka 2 - RO</w:t>
            </w:r>
          </w:p>
        </w:tc>
      </w:tr>
      <w:tr w:rsidR="007B7A90" w:rsidRPr="00B27A47" w14:paraId="491B9F9A" w14:textId="4D7E1428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565C8AD7" w14:textId="7777777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474BB3" w14:textId="3B66070C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3528" w:type="dxa"/>
            <w:gridSpan w:val="2"/>
            <w:shd w:val="clear" w:color="auto" w:fill="auto"/>
            <w:vAlign w:val="bottom"/>
          </w:tcPr>
          <w:p w14:paraId="452FD397" w14:textId="4D3CCD15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in družinska medicina v splošni zunajbolnišnični dejavnosti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56D51F39" w14:textId="7777777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</w:tcPr>
          <w:p w14:paraId="78D810FA" w14:textId="7777777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B7A90" w:rsidRPr="00B27A47" w14:paraId="6CCC948B" w14:textId="69932260" w:rsidTr="007B7A90">
        <w:trPr>
          <w:trHeight w:val="244"/>
        </w:trPr>
        <w:tc>
          <w:tcPr>
            <w:tcW w:w="908" w:type="dxa"/>
            <w:shd w:val="clear" w:color="auto" w:fill="auto"/>
            <w:vAlign w:val="bottom"/>
          </w:tcPr>
          <w:p w14:paraId="43C6C53D" w14:textId="7777777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B899D63" w14:textId="7777777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4" w:type="dxa"/>
            <w:shd w:val="clear" w:color="auto" w:fill="auto"/>
          </w:tcPr>
          <w:p w14:paraId="2967ABD8" w14:textId="627EEDF7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067</w:t>
            </w:r>
          </w:p>
        </w:tc>
        <w:tc>
          <w:tcPr>
            <w:tcW w:w="2954" w:type="dxa"/>
            <w:shd w:val="clear" w:color="auto" w:fill="auto"/>
          </w:tcPr>
          <w:p w14:paraId="09383EE3" w14:textId="454C7B8F" w:rsidR="007B7A90" w:rsidRPr="00B27A47" w:rsidRDefault="007B7A90" w:rsidP="00FD6C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ambulanta za neopredeljene zavarovane osebe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D12D88" w14:textId="5E4C0C32" w:rsidR="007B7A90" w:rsidRPr="002621AB" w:rsidRDefault="007B7A90" w:rsidP="00FD6CC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Namesto E0839= E0743, Šifrant 15.20 (razen </w:t>
            </w:r>
            <w:r w:rsidRPr="002621A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K0010, K0013, K0015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, </w:t>
            </w: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K0024, K0044, K0049, K0054, K0055)</w:t>
            </w:r>
          </w:p>
        </w:tc>
        <w:tc>
          <w:tcPr>
            <w:tcW w:w="2037" w:type="dxa"/>
          </w:tcPr>
          <w:p w14:paraId="4C9AA4F3" w14:textId="78C45F98" w:rsidR="007B7A90" w:rsidRPr="002621AB" w:rsidRDefault="007B7A90" w:rsidP="00FD6CC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Namesto E0839= E0743, Šifrant 15.20 (razen </w:t>
            </w:r>
            <w:r w:rsidRPr="002621A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K0010, K0013, K0015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, </w:t>
            </w: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K0024, K0044, K0049, K0054, K0055)</w:t>
            </w:r>
          </w:p>
        </w:tc>
      </w:tr>
    </w:tbl>
    <w:p w14:paraId="4A0B878D" w14:textId="77777777" w:rsidR="00FD6CC8" w:rsidRPr="00B27A47" w:rsidRDefault="00FD6CC8" w:rsidP="00FD6CC8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75BF9C6" w14:textId="30863AA3" w:rsidR="00FD6CC8" w:rsidRPr="00B27A47" w:rsidRDefault="00867DDE" w:rsidP="00867DDE">
      <w:pPr>
        <w:spacing w:after="0" w:line="240" w:lineRule="auto"/>
        <w:contextualSpacing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Dopolnjujemo</w:t>
      </w:r>
      <w:r w:rsidRPr="00B27A47">
        <w:rPr>
          <w:rFonts w:ascii="Calibri" w:eastAsia="Calibri" w:hAnsi="Calibri" w:cs="Arial"/>
          <w:color w:val="000000"/>
        </w:rPr>
        <w:t xml:space="preserve"> </w:t>
      </w:r>
      <w:r w:rsidR="00FD6CC8" w:rsidRPr="00B27A47">
        <w:rPr>
          <w:rFonts w:ascii="Calibri" w:eastAsia="Calibri" w:hAnsi="Calibri" w:cs="Arial"/>
          <w:color w:val="000000"/>
        </w:rPr>
        <w:t>povezovalni šifrant K2 »VZD s storitvami glede na vrsto dokumenta po strukturi«</w:t>
      </w:r>
      <w:r>
        <w:rPr>
          <w:rFonts w:ascii="Calibri" w:eastAsia="Calibri" w:hAnsi="Calibri" w:cs="Arial"/>
          <w:color w:val="000000"/>
        </w:rPr>
        <w:t xml:space="preserve"> kot sledi</w:t>
      </w:r>
      <w:r w:rsidR="00FD6CC8" w:rsidRPr="00B27A47">
        <w:rPr>
          <w:rFonts w:ascii="Calibri" w:eastAsia="Calibri" w:hAnsi="Calibri" w:cs="Arial"/>
          <w:color w:val="000000"/>
        </w:rPr>
        <w:t>:</w:t>
      </w:r>
    </w:p>
    <w:p w14:paraId="5E89FAB1" w14:textId="77777777" w:rsidR="00FD6CC8" w:rsidRPr="00B27A47" w:rsidRDefault="00FD6CC8" w:rsidP="00FD6CC8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21"/>
        <w:gridCol w:w="554"/>
        <w:gridCol w:w="3543"/>
        <w:gridCol w:w="3686"/>
      </w:tblGrid>
      <w:tr w:rsidR="00180691" w:rsidRPr="00B27A47" w14:paraId="5766ED96" w14:textId="77777777" w:rsidTr="00180691">
        <w:trPr>
          <w:trHeight w:val="313"/>
        </w:trPr>
        <w:tc>
          <w:tcPr>
            <w:tcW w:w="910" w:type="dxa"/>
            <w:shd w:val="clear" w:color="auto" w:fill="auto"/>
            <w:vAlign w:val="bottom"/>
          </w:tcPr>
          <w:p w14:paraId="6E63495D" w14:textId="77777777" w:rsidR="00180691" w:rsidRPr="00B27A47" w:rsidRDefault="00180691" w:rsidP="008610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618" w:type="dxa"/>
            <w:gridSpan w:val="3"/>
            <w:shd w:val="clear" w:color="auto" w:fill="auto"/>
            <w:vAlign w:val="bottom"/>
          </w:tcPr>
          <w:p w14:paraId="720278A8" w14:textId="77777777" w:rsidR="00180691" w:rsidRPr="00B27A47" w:rsidRDefault="00180691" w:rsidP="008610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vAlign w:val="center"/>
          </w:tcPr>
          <w:p w14:paraId="63DBB93E" w14:textId="77777777" w:rsidR="00180691" w:rsidRDefault="00180691" w:rsidP="00861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</w:pPr>
            <w:r w:rsidRPr="00B27A47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VD 4-9 in 15-16 Obravnava</w:t>
            </w:r>
          </w:p>
          <w:p w14:paraId="7F5E753B" w14:textId="77777777" w:rsidR="00180691" w:rsidRPr="00B27A47" w:rsidRDefault="00180691" w:rsidP="00861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</w:pPr>
            <w:r w:rsidRPr="00B27A47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Opr. stor.</w:t>
            </w:r>
          </w:p>
        </w:tc>
      </w:tr>
      <w:tr w:rsidR="00180691" w:rsidRPr="00B27A47" w14:paraId="5543DD03" w14:textId="77777777" w:rsidTr="00180691">
        <w:trPr>
          <w:trHeight w:val="227"/>
        </w:trPr>
        <w:tc>
          <w:tcPr>
            <w:tcW w:w="910" w:type="dxa"/>
            <w:shd w:val="clear" w:color="auto" w:fill="auto"/>
            <w:vAlign w:val="bottom"/>
          </w:tcPr>
          <w:p w14:paraId="22B577AC" w14:textId="77777777" w:rsidR="00180691" w:rsidRPr="00B27A47" w:rsidRDefault="00180691" w:rsidP="008610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27A47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4618" w:type="dxa"/>
            <w:gridSpan w:val="3"/>
            <w:shd w:val="clear" w:color="auto" w:fill="auto"/>
            <w:vAlign w:val="bottom"/>
          </w:tcPr>
          <w:p w14:paraId="26BCD5B5" w14:textId="77777777" w:rsidR="00180691" w:rsidRPr="00B27A47" w:rsidRDefault="00180691" w:rsidP="008610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27A47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3686" w:type="dxa"/>
            <w:vAlign w:val="bottom"/>
          </w:tcPr>
          <w:p w14:paraId="355F3A86" w14:textId="77777777" w:rsidR="00180691" w:rsidRPr="00B27A47" w:rsidRDefault="00180691" w:rsidP="008610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80691" w:rsidRPr="00B27A47" w14:paraId="1EFDAC6C" w14:textId="77777777" w:rsidTr="00180691">
        <w:trPr>
          <w:trHeight w:val="227"/>
        </w:trPr>
        <w:tc>
          <w:tcPr>
            <w:tcW w:w="910" w:type="dxa"/>
            <w:shd w:val="clear" w:color="auto" w:fill="auto"/>
            <w:vAlign w:val="bottom"/>
          </w:tcPr>
          <w:p w14:paraId="2782A9C9" w14:textId="77777777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B27A47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1" w:type="dxa"/>
            <w:shd w:val="clear" w:color="auto" w:fill="auto"/>
            <w:vAlign w:val="bottom"/>
          </w:tcPr>
          <w:p w14:paraId="5AB85ADC" w14:textId="15028D2E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4097" w:type="dxa"/>
            <w:gridSpan w:val="2"/>
            <w:shd w:val="clear" w:color="auto" w:fill="auto"/>
            <w:vAlign w:val="bottom"/>
          </w:tcPr>
          <w:p w14:paraId="6D8297C4" w14:textId="70C46E9C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in družinska medicina v splošni zunajbolnišnični dejavnosti</w:t>
            </w:r>
          </w:p>
        </w:tc>
        <w:tc>
          <w:tcPr>
            <w:tcW w:w="3686" w:type="dxa"/>
            <w:vAlign w:val="bottom"/>
          </w:tcPr>
          <w:p w14:paraId="46051EFB" w14:textId="77777777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80691" w:rsidRPr="00B27A47" w14:paraId="45F02941" w14:textId="77777777" w:rsidTr="00180691">
        <w:trPr>
          <w:trHeight w:val="227"/>
        </w:trPr>
        <w:tc>
          <w:tcPr>
            <w:tcW w:w="910" w:type="dxa"/>
            <w:shd w:val="clear" w:color="auto" w:fill="auto"/>
            <w:vAlign w:val="bottom"/>
          </w:tcPr>
          <w:p w14:paraId="04CC5F50" w14:textId="77777777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14:paraId="2F713CC1" w14:textId="77777777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4" w:type="dxa"/>
            <w:shd w:val="clear" w:color="auto" w:fill="auto"/>
          </w:tcPr>
          <w:p w14:paraId="263496E6" w14:textId="404B5446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067</w:t>
            </w:r>
          </w:p>
        </w:tc>
        <w:tc>
          <w:tcPr>
            <w:tcW w:w="3543" w:type="dxa"/>
            <w:shd w:val="clear" w:color="auto" w:fill="auto"/>
          </w:tcPr>
          <w:p w14:paraId="4A8DC6C7" w14:textId="2F93217F" w:rsidR="00180691" w:rsidRPr="00B27A47" w:rsidRDefault="00180691" w:rsidP="003352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26225">
              <w:rPr>
                <w:rFonts w:cstheme="minorHAnsi"/>
                <w:sz w:val="20"/>
                <w:szCs w:val="20"/>
              </w:rPr>
              <w:t>Splošna ambulanta za neopredeljene zavarovane osebe</w:t>
            </w:r>
          </w:p>
        </w:tc>
        <w:tc>
          <w:tcPr>
            <w:tcW w:w="3686" w:type="dxa"/>
            <w:vAlign w:val="center"/>
          </w:tcPr>
          <w:p w14:paraId="3C0F963C" w14:textId="224B392B" w:rsidR="00180691" w:rsidRPr="00AF6FD4" w:rsidRDefault="00180691" w:rsidP="001806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Šifrant 15.20 (razen </w:t>
            </w:r>
            <w:r w:rsidRPr="002621A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K0010, K0013, K0015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 xml:space="preserve">, </w:t>
            </w:r>
            <w:r w:rsidRPr="002621AB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K0024, K0044, K0049, K0054, K0055)</w:t>
            </w:r>
          </w:p>
        </w:tc>
      </w:tr>
    </w:tbl>
    <w:p w14:paraId="58D19771" w14:textId="7BABBA5D" w:rsidR="00FD6CC8" w:rsidRDefault="00FD6CC8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7F009B6E" w14:textId="7A813102" w:rsidR="005A7785" w:rsidRDefault="005A7785" w:rsidP="005A77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623E3B">
        <w:rPr>
          <w:rFonts w:ascii="Calibri" w:eastAsia="Times New Roman" w:hAnsi="Calibri" w:cs="Arial"/>
          <w:lang w:eastAsia="sl-SI"/>
        </w:rPr>
        <w:t xml:space="preserve">Spremembe veljajo za storitve, opravljene od 1. </w:t>
      </w:r>
      <w:r w:rsidR="00CC09B0">
        <w:rPr>
          <w:rFonts w:ascii="Calibri" w:eastAsia="Times New Roman" w:hAnsi="Calibri" w:cs="Arial"/>
          <w:lang w:eastAsia="sl-SI"/>
        </w:rPr>
        <w:t>6</w:t>
      </w:r>
      <w:r w:rsidRPr="00623E3B">
        <w:rPr>
          <w:rFonts w:ascii="Calibri" w:eastAsia="Times New Roman" w:hAnsi="Calibri" w:cs="Arial"/>
          <w:lang w:eastAsia="sl-SI"/>
        </w:rPr>
        <w:t>. 2023 dalje.</w:t>
      </w:r>
    </w:p>
    <w:p w14:paraId="5557D1E8" w14:textId="77777777" w:rsidR="005A7785" w:rsidRDefault="005A7785" w:rsidP="005A77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51C905E" w14:textId="77777777" w:rsidR="005A7785" w:rsidRPr="00A81EB8" w:rsidRDefault="005A7785" w:rsidP="005A77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81EB8">
        <w:rPr>
          <w:rFonts w:ascii="Calibri" w:eastAsia="Times New Roman" w:hAnsi="Calibri" w:cs="Calibri"/>
          <w:lang w:eastAsia="sl-SI"/>
        </w:rPr>
        <w:t>Kontaktn</w:t>
      </w:r>
      <w:r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oseb</w:t>
      </w:r>
      <w:r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za vsebinska vprašanja: </w:t>
      </w:r>
    </w:p>
    <w:p w14:paraId="53DB2CE1" w14:textId="77777777" w:rsidR="005A7785" w:rsidRDefault="005A7785" w:rsidP="005A77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94009F">
        <w:rPr>
          <w:rFonts w:ascii="Calibri" w:eastAsia="Calibri" w:hAnsi="Calibri" w:cs="Arial"/>
          <w:color w:val="000000"/>
        </w:rPr>
        <w:t>Jerneja Bergant (</w:t>
      </w:r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r w:rsidRPr="0094009F">
        <w:rPr>
          <w:rFonts w:ascii="Calibri" w:eastAsia="Calibri" w:hAnsi="Calibri" w:cs="Arial"/>
          <w:color w:val="000000"/>
        </w:rPr>
        <w:t>; 01/30-77-573)</w:t>
      </w:r>
    </w:p>
    <w:p w14:paraId="06198CB5" w14:textId="1D37A63E" w:rsidR="00FD6CC8" w:rsidRDefault="00FD6CC8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7AF14B9F" w14:textId="77777777" w:rsidR="00FD6CC8" w:rsidRPr="007839DA" w:rsidRDefault="00FD6CC8" w:rsidP="007839D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42FBF364" w14:textId="4E97286B" w:rsidR="0047519A" w:rsidRPr="00A81EB8" w:rsidRDefault="0047519A" w:rsidP="0047519A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11" w:name="_Toc135648851"/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Lekarne na primarni ravni – v okviru brezšivne skrbi uvedba nov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ih 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storit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e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v 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75011 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»P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regled uporabe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zdravil (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PUZ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)«</w:t>
      </w:r>
      <w:r w:rsidR="00445C3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in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75011 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»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Kontrolni pregled uporabe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zdravil (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kPUZ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)«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ter dopolnitev dolgega opisa storitve </w:t>
      </w:r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75010 </w:t>
      </w:r>
      <w:bookmarkStart w:id="12" w:name="_Hlk133389983"/>
      <w:r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»Posodobitev osebne kartice zdravil (pOKZ)«</w:t>
      </w:r>
      <w:bookmarkEnd w:id="0"/>
      <w:bookmarkEnd w:id="12"/>
      <w:r w:rsidR="00A65AE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s 1. 7. 2023</w:t>
      </w:r>
      <w:bookmarkEnd w:id="11"/>
    </w:p>
    <w:p w14:paraId="56B52782" w14:textId="77777777" w:rsidR="0047519A" w:rsidRPr="00A81EB8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7EB97A71" w14:textId="77777777" w:rsidR="0047519A" w:rsidRPr="00A81EB8" w:rsidRDefault="0047519A" w:rsidP="0047519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 w:rsidRPr="00A81EB8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Vsem izvajalcem lekarniške dejavnosti na primarni ravni</w:t>
      </w:r>
    </w:p>
    <w:p w14:paraId="2C9B478C" w14:textId="77777777" w:rsidR="0047519A" w:rsidRPr="00A81EB8" w:rsidRDefault="0047519A" w:rsidP="0047519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5C14A17F" w14:textId="77777777" w:rsidR="0047519A" w:rsidRPr="00A81EB8" w:rsidRDefault="0047519A" w:rsidP="0047519A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A81EB8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1E846499" w14:textId="77777777" w:rsidR="0047519A" w:rsidRPr="00A81EB8" w:rsidRDefault="0047519A" w:rsidP="0047519A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297B265C" w14:textId="2207B67E" w:rsidR="00AC6BCD" w:rsidRPr="00A81EB8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bookmarkStart w:id="13" w:name="_Hlk119861407"/>
      <w:bookmarkStart w:id="14" w:name="_Hlk109805582"/>
      <w:r w:rsidRPr="00A81EB8">
        <w:rPr>
          <w:rFonts w:ascii="Calibri" w:eastAsia="Times New Roman" w:hAnsi="Calibri" w:cs="Calibri"/>
          <w:lang w:eastAsia="sl-SI"/>
        </w:rPr>
        <w:t xml:space="preserve">Z </w:t>
      </w:r>
      <w:r w:rsidRPr="00D31CC7">
        <w:t>Uredb</w:t>
      </w:r>
      <w:r>
        <w:t>o</w:t>
      </w:r>
      <w:r w:rsidRPr="00D31CC7">
        <w:t xml:space="preserve"> o programih storitev OZZ 2023</w:t>
      </w:r>
      <w:r>
        <w:t xml:space="preserve"> in </w:t>
      </w:r>
      <w:r w:rsidRPr="00D31CC7">
        <w:t>Uredb</w:t>
      </w:r>
      <w:r>
        <w:t>o</w:t>
      </w:r>
      <w:r w:rsidRPr="00D31CC7">
        <w:t xml:space="preserve"> o spremembah in dopolnitvah Uredbe o programih storitev OZZ 2023</w:t>
      </w:r>
      <w:r w:rsidR="000C496F">
        <w:t xml:space="preserve"> </w:t>
      </w:r>
      <w:r>
        <w:rPr>
          <w:rFonts w:ascii="Calibri" w:eastAsia="Times New Roman" w:hAnsi="Calibri" w:cs="Calibri"/>
          <w:lang w:eastAsia="sl-SI"/>
        </w:rPr>
        <w:t>se v okviru</w:t>
      </w:r>
      <w:r w:rsidRPr="00A81EB8">
        <w:rPr>
          <w:rFonts w:ascii="Calibri" w:eastAsia="Times New Roman" w:hAnsi="Calibri" w:cs="Calibri"/>
          <w:lang w:eastAsia="sl-SI"/>
        </w:rPr>
        <w:t xml:space="preserve"> program</w:t>
      </w:r>
      <w:r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brezšivne skrbi</w:t>
      </w:r>
      <w:r w:rsidR="00835A16">
        <w:rPr>
          <w:rFonts w:ascii="Calibri" w:eastAsia="Times New Roman" w:hAnsi="Calibri" w:cs="Calibri"/>
          <w:lang w:eastAsia="sl-SI"/>
        </w:rPr>
        <w:t xml:space="preserve"> (v nadaljevanju BS)</w:t>
      </w:r>
      <w:r w:rsidRPr="00A81EB8">
        <w:rPr>
          <w:rFonts w:ascii="Calibri" w:eastAsia="Times New Roman" w:hAnsi="Calibri" w:cs="Calibri"/>
          <w:lang w:eastAsia="sl-SI"/>
        </w:rPr>
        <w:t xml:space="preserve"> </w:t>
      </w:r>
      <w:r>
        <w:rPr>
          <w:rFonts w:ascii="Calibri" w:eastAsia="Times New Roman" w:hAnsi="Calibri" w:cs="Calibri"/>
          <w:lang w:eastAsia="sl-SI"/>
        </w:rPr>
        <w:t>v lekarnah na primarni ravni z</w:t>
      </w:r>
      <w:r>
        <w:rPr>
          <w:rFonts w:eastAsia="Calibri" w:cstheme="minorHAnsi"/>
          <w:color w:val="000000"/>
          <w:lang w:eastAsia="sl-SI"/>
        </w:rPr>
        <w:t xml:space="preserve">a </w:t>
      </w:r>
      <w:r w:rsidRPr="001840B5">
        <w:rPr>
          <w:rFonts w:ascii="Calibri" w:eastAsia="Times New Roman" w:hAnsi="Calibri" w:cs="Calibri"/>
          <w:lang w:eastAsia="sl-SI"/>
        </w:rPr>
        <w:t>zagotavljanje boljših izidov zdravljenja z zdravili</w:t>
      </w:r>
      <w:r>
        <w:rPr>
          <w:rFonts w:ascii="Calibri" w:eastAsia="Times New Roman" w:hAnsi="Calibri" w:cs="Calibri"/>
          <w:lang w:eastAsia="sl-SI"/>
        </w:rPr>
        <w:t xml:space="preserve"> (izboljšano </w:t>
      </w:r>
      <w:r>
        <w:t xml:space="preserve">pacientovo sodelovanje ter odpravo morebitnih težav pri zdravljenju z zdravili) </w:t>
      </w:r>
      <w:r>
        <w:rPr>
          <w:rFonts w:ascii="Calibri" w:eastAsia="Times New Roman" w:hAnsi="Calibri" w:cs="Calibri"/>
          <w:lang w:eastAsia="sl-SI"/>
        </w:rPr>
        <w:t xml:space="preserve">s 1. 7. 2023 </w:t>
      </w:r>
      <w:r w:rsidRPr="00A81EB8">
        <w:rPr>
          <w:rFonts w:ascii="Calibri" w:eastAsia="Times New Roman" w:hAnsi="Calibri" w:cs="Calibri"/>
          <w:lang w:eastAsia="sl-SI"/>
        </w:rPr>
        <w:t>uvaja</w:t>
      </w:r>
      <w:r>
        <w:rPr>
          <w:rFonts w:ascii="Calibri" w:eastAsia="Times New Roman" w:hAnsi="Calibri" w:cs="Calibri"/>
          <w:lang w:eastAsia="sl-SI"/>
        </w:rPr>
        <w:t>ta</w:t>
      </w:r>
      <w:r w:rsidRPr="00A81EB8">
        <w:rPr>
          <w:rFonts w:ascii="Calibri" w:eastAsia="Times New Roman" w:hAnsi="Calibri" w:cs="Calibri"/>
          <w:lang w:eastAsia="sl-SI"/>
        </w:rPr>
        <w:t xml:space="preserve"> nov</w:t>
      </w:r>
      <w:r>
        <w:rPr>
          <w:rFonts w:ascii="Calibri" w:eastAsia="Times New Roman" w:hAnsi="Calibri" w:cs="Calibri"/>
          <w:lang w:eastAsia="sl-SI"/>
        </w:rPr>
        <w:t>i</w:t>
      </w:r>
      <w:r w:rsidRPr="00A81EB8">
        <w:rPr>
          <w:rFonts w:ascii="Calibri" w:eastAsia="Times New Roman" w:hAnsi="Calibri" w:cs="Calibri"/>
          <w:lang w:eastAsia="sl-SI"/>
        </w:rPr>
        <w:t xml:space="preserve"> storitv</w:t>
      </w:r>
      <w:r>
        <w:rPr>
          <w:rFonts w:ascii="Calibri" w:eastAsia="Times New Roman" w:hAnsi="Calibri" w:cs="Calibri"/>
          <w:lang w:eastAsia="sl-SI"/>
        </w:rPr>
        <w:t>i pregleda uporabe zdravil, in sicer</w:t>
      </w:r>
      <w:r w:rsidRPr="00A81EB8">
        <w:rPr>
          <w:rFonts w:ascii="Calibri" w:eastAsia="Times New Roman" w:hAnsi="Calibri" w:cs="Calibri"/>
          <w:lang w:eastAsia="sl-SI"/>
        </w:rPr>
        <w:t>:</w:t>
      </w:r>
    </w:p>
    <w:p w14:paraId="747B565C" w14:textId="77777777" w:rsidR="00AC6BCD" w:rsidRPr="00A81EB8" w:rsidRDefault="00AC6BCD" w:rsidP="00AC6BCD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lang w:eastAsia="sl-SI"/>
        </w:rPr>
      </w:pPr>
      <w:bookmarkStart w:id="15" w:name="_Hlk105431969"/>
      <w:r>
        <w:rPr>
          <w:rFonts w:ascii="Calibri" w:eastAsia="Times New Roman" w:hAnsi="Calibri" w:cs="Times New Roman"/>
          <w:lang w:eastAsia="sl-SI"/>
        </w:rPr>
        <w:t>75011 »PUZ – p</w:t>
      </w:r>
      <w:r w:rsidRPr="00B42BAE">
        <w:rPr>
          <w:rFonts w:ascii="Calibri" w:eastAsia="Times New Roman" w:hAnsi="Calibri" w:cs="Times New Roman"/>
          <w:lang w:eastAsia="sl-SI"/>
        </w:rPr>
        <w:t>regled uporabe zdravil</w:t>
      </w:r>
      <w:r>
        <w:rPr>
          <w:rFonts w:ascii="Calibri" w:eastAsia="Times New Roman" w:hAnsi="Calibri" w:cs="Times New Roman"/>
          <w:lang w:eastAsia="sl-SI"/>
        </w:rPr>
        <w:t>« (v nadaljevanju PUZ) in</w:t>
      </w:r>
    </w:p>
    <w:p w14:paraId="3AACF771" w14:textId="77777777" w:rsidR="00AC6BCD" w:rsidRPr="00B42BAE" w:rsidRDefault="00AC6BCD" w:rsidP="00AC6BCD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75012 »kPUZ – k</w:t>
      </w:r>
      <w:r w:rsidRPr="00B42BAE">
        <w:rPr>
          <w:rFonts w:ascii="Calibri" w:eastAsia="Times New Roman" w:hAnsi="Calibri" w:cs="Times New Roman"/>
          <w:lang w:eastAsia="sl-SI"/>
        </w:rPr>
        <w:t>ontrolni pregled uporabe zdravil</w:t>
      </w:r>
      <w:r>
        <w:rPr>
          <w:rFonts w:ascii="Calibri" w:eastAsia="Times New Roman" w:hAnsi="Calibri" w:cs="Times New Roman"/>
          <w:lang w:eastAsia="sl-SI"/>
        </w:rPr>
        <w:t>« (v nadaljevanju kPUZ)</w:t>
      </w:r>
      <w:r w:rsidRPr="00B42BAE">
        <w:rPr>
          <w:rFonts w:ascii="Calibri" w:eastAsia="Times New Roman" w:hAnsi="Calibri" w:cs="Times New Roman"/>
          <w:lang w:eastAsia="sl-SI"/>
        </w:rPr>
        <w:t>.</w:t>
      </w:r>
    </w:p>
    <w:bookmarkEnd w:id="13"/>
    <w:bookmarkEnd w:id="15"/>
    <w:bookmarkEnd w:id="14"/>
    <w:p w14:paraId="6B4A30FC" w14:textId="77777777" w:rsidR="00AC6BCD" w:rsidRPr="00A81EB8" w:rsidRDefault="00AC6BCD" w:rsidP="00AC6BCD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18461FD2" w14:textId="7240E069" w:rsidR="00AC6BCD" w:rsidRDefault="00AC6BCD" w:rsidP="00AC6BCD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eastAsia="Times New Roman" w:cstheme="minorHAnsi"/>
          <w:lang w:eastAsia="sl-SI"/>
        </w:rPr>
        <w:t xml:space="preserve">Novi storitvi se beležita </w:t>
      </w:r>
      <w:r w:rsidR="000C496F">
        <w:rPr>
          <w:rFonts w:eastAsia="Times New Roman" w:cstheme="minorHAnsi"/>
          <w:lang w:eastAsia="sl-SI"/>
        </w:rPr>
        <w:t>v</w:t>
      </w:r>
      <w:r>
        <w:rPr>
          <w:rFonts w:eastAsia="Times New Roman" w:cstheme="minorHAnsi"/>
          <w:lang w:eastAsia="sl-SI"/>
        </w:rPr>
        <w:t xml:space="preserve"> dejavnosti </w:t>
      </w:r>
      <w:r w:rsidRPr="00A81EB8">
        <w:rPr>
          <w:rFonts w:eastAsia="Calibri" w:cstheme="minorHAnsi"/>
          <w:color w:val="000000"/>
          <w:lang w:eastAsia="sl-SI"/>
        </w:rPr>
        <w:t>743 608 »Kognitivne storitve«</w:t>
      </w:r>
      <w:r>
        <w:rPr>
          <w:rFonts w:eastAsia="Calibri" w:cstheme="minorHAnsi"/>
          <w:color w:val="000000"/>
          <w:lang w:eastAsia="sl-SI"/>
        </w:rPr>
        <w:t xml:space="preserve"> </w:t>
      </w:r>
      <w:r w:rsidRPr="00A81EB8">
        <w:rPr>
          <w:rFonts w:ascii="Calibri" w:eastAsiaTheme="minorEastAsia" w:hAnsi="Calibri" w:cs="Calibri"/>
          <w:color w:val="000000"/>
          <w:lang w:eastAsia="sl-SI"/>
        </w:rPr>
        <w:t>po zavarovani osebi po strukturi Obravnava</w:t>
      </w:r>
      <w:r>
        <w:rPr>
          <w:rFonts w:ascii="Calibri" w:eastAsiaTheme="minorEastAsia" w:hAnsi="Calibri" w:cs="Calibri"/>
          <w:color w:val="000000"/>
          <w:lang w:eastAsia="sl-SI"/>
        </w:rPr>
        <w:t>.</w:t>
      </w:r>
    </w:p>
    <w:p w14:paraId="553F80E5" w14:textId="77777777" w:rsidR="00AC6BCD" w:rsidRDefault="00AC6BCD" w:rsidP="00AC6BCD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0040C795" w14:textId="1171837A" w:rsidR="00AC6BCD" w:rsidRPr="00D024D5" w:rsidRDefault="00AC6BCD" w:rsidP="00AC6B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>
        <w:rPr>
          <w:rFonts w:ascii="Calibri" w:eastAsiaTheme="minorEastAsia" w:hAnsi="Calibri" w:cs="Calibri"/>
          <w:color w:val="000000"/>
          <w:lang w:eastAsia="sl-SI"/>
        </w:rPr>
        <w:t xml:space="preserve">Hkrati skladno s Sklepom o načrtovanju zdravstvenih storitev dopolnjujemo dolg opis storitve 75010 </w:t>
      </w:r>
      <w:r w:rsidRPr="00A05FBB">
        <w:rPr>
          <w:rFonts w:ascii="Calibri" w:eastAsiaTheme="minorEastAsia" w:hAnsi="Calibri" w:cs="Calibri"/>
          <w:color w:val="000000"/>
          <w:lang w:eastAsia="sl-SI"/>
        </w:rPr>
        <w:t>»Posodobitev osebne kartice zdravil</w:t>
      </w:r>
      <w:r>
        <w:rPr>
          <w:rFonts w:ascii="Calibri" w:eastAsiaTheme="minorEastAsia" w:hAnsi="Calibri" w:cs="Calibri"/>
          <w:color w:val="000000"/>
          <w:lang w:eastAsia="sl-SI"/>
        </w:rPr>
        <w:t xml:space="preserve"> (pOKZ)«</w:t>
      </w:r>
      <w:r w:rsidRPr="00A05FBB">
        <w:rPr>
          <w:rFonts w:ascii="Calibri" w:eastAsiaTheme="minorEastAsia" w:hAnsi="Calibri" w:cs="Calibri"/>
          <w:color w:val="000000"/>
          <w:lang w:eastAsia="sl-SI"/>
        </w:rPr>
        <w:t xml:space="preserve"> (</w:t>
      </w:r>
      <w:r>
        <w:rPr>
          <w:rFonts w:eastAsia="Times New Roman" w:cstheme="minorHAnsi"/>
          <w:lang w:eastAsia="sl-SI"/>
        </w:rPr>
        <w:t>v nadalj</w:t>
      </w:r>
      <w:r w:rsidR="001E6B58">
        <w:rPr>
          <w:rFonts w:eastAsia="Times New Roman" w:cstheme="minorHAnsi"/>
          <w:lang w:eastAsia="sl-SI"/>
        </w:rPr>
        <w:t>e</w:t>
      </w:r>
      <w:r>
        <w:rPr>
          <w:rFonts w:eastAsia="Times New Roman" w:cstheme="minorHAnsi"/>
          <w:lang w:eastAsia="sl-SI"/>
        </w:rPr>
        <w:t xml:space="preserve">vanju </w:t>
      </w:r>
      <w:r w:rsidRPr="00A05FBB">
        <w:rPr>
          <w:rFonts w:ascii="Calibri" w:eastAsiaTheme="minorEastAsia" w:hAnsi="Calibri" w:cs="Calibri"/>
          <w:color w:val="000000"/>
          <w:lang w:eastAsia="sl-SI"/>
        </w:rPr>
        <w:t>pOKZ)</w:t>
      </w:r>
      <w:r w:rsidRPr="00A81EB8">
        <w:rPr>
          <w:rFonts w:eastAsia="Calibri" w:cstheme="minorHAnsi"/>
          <w:color w:val="000000"/>
          <w:lang w:eastAsia="sl-SI"/>
        </w:rPr>
        <w:t>.</w:t>
      </w:r>
      <w:r>
        <w:rPr>
          <w:rFonts w:eastAsia="Calibri" w:cstheme="minorHAnsi"/>
          <w:color w:val="000000"/>
          <w:lang w:eastAsia="sl-SI"/>
        </w:rPr>
        <w:t xml:space="preserve"> </w:t>
      </w:r>
      <w:r w:rsidRPr="000807E9">
        <w:rPr>
          <w:rFonts w:eastAsia="Times New Roman" w:cstheme="minorHAnsi"/>
          <w:color w:val="000000"/>
          <w:lang w:eastAsia="sl-SI"/>
        </w:rPr>
        <w:t xml:space="preserve">Navodila za obračun </w:t>
      </w:r>
      <w:r w:rsidRPr="000807E9">
        <w:rPr>
          <w:rFonts w:eastAsia="Times New Roman" w:cstheme="minorHAnsi"/>
          <w:lang w:eastAsia="sl-SI"/>
        </w:rPr>
        <w:t>storitve pOKZ in uvedba strukture Obravnava</w:t>
      </w:r>
      <w:r w:rsidRPr="000807E9">
        <w:rPr>
          <w:rFonts w:eastAsia="Times New Roman" w:cstheme="minorHAnsi"/>
          <w:color w:val="000000"/>
          <w:lang w:eastAsia="sl-SI"/>
        </w:rPr>
        <w:t xml:space="preserve"> v lekarniški dejavnosti so bila objavljena v okrožnicah ZAE 19/22 in ZAE 3/23.</w:t>
      </w:r>
    </w:p>
    <w:p w14:paraId="28A35680" w14:textId="77777777" w:rsidR="00AC6BCD" w:rsidRDefault="00AC6BCD" w:rsidP="00AC6BCD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</w:p>
    <w:p w14:paraId="1D3A3E66" w14:textId="05105C1B" w:rsidR="00AC6BCD" w:rsidRPr="00364B73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 w:rsidRPr="00364B73">
        <w:rPr>
          <w:rFonts w:ascii="Calibri" w:eastAsia="Times New Roman" w:hAnsi="Calibri" w:cs="Calibri"/>
          <w:u w:val="single"/>
          <w:lang w:eastAsia="sl-SI"/>
        </w:rPr>
        <w:t xml:space="preserve">PUZ se v okviru </w:t>
      </w:r>
      <w:r w:rsidR="00835A16">
        <w:rPr>
          <w:rFonts w:ascii="Calibri" w:eastAsia="Times New Roman" w:hAnsi="Calibri" w:cs="Calibri"/>
          <w:u w:val="single"/>
          <w:lang w:eastAsia="sl-SI"/>
        </w:rPr>
        <w:t>BS</w:t>
      </w:r>
      <w:r w:rsidRPr="00364B73">
        <w:rPr>
          <w:rFonts w:ascii="Calibri" w:eastAsia="Times New Roman" w:hAnsi="Calibri" w:cs="Calibri"/>
          <w:u w:val="single"/>
          <w:lang w:eastAsia="sl-SI"/>
        </w:rPr>
        <w:t xml:space="preserve"> izvede pacientom:</w:t>
      </w:r>
    </w:p>
    <w:p w14:paraId="5E7896FC" w14:textId="77777777" w:rsidR="00AC6BCD" w:rsidRPr="000807E9" w:rsidRDefault="00AC6BCD" w:rsidP="00AC6BCD">
      <w:pPr>
        <w:pStyle w:val="Odstavekseznama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 w:rsidRPr="000807E9">
        <w:rPr>
          <w:rFonts w:ascii="Calibri" w:eastAsia="Times New Roman" w:hAnsi="Calibri" w:cs="Calibri"/>
          <w:lang w:eastAsia="sl-SI"/>
        </w:rPr>
        <w:t>s polifarmakoterapijo (5 ali več zdravil) kroničnih nenalezljivih bolezni, s pogostimi hospitalizacijami oz. spremembami v terapiji z zdravili;</w:t>
      </w:r>
    </w:p>
    <w:p w14:paraId="534529C5" w14:textId="77777777" w:rsidR="00AC6BCD" w:rsidRPr="000807E9" w:rsidRDefault="00AC6BCD" w:rsidP="00AC6BCD">
      <w:pPr>
        <w:pStyle w:val="Odstavekseznama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 w:rsidRPr="000807E9">
        <w:rPr>
          <w:rFonts w:ascii="Calibri" w:eastAsia="Times New Roman" w:hAnsi="Calibri" w:cs="Calibri"/>
          <w:lang w:eastAsia="sl-SI"/>
        </w:rPr>
        <w:t>s slabšim sodelovanjem pri zdravljenju z zdravili (slabo razumevanje ali nepoznavanje terapije, slabše kognitivne sposobnosti, fizične omejitve pacienta (težave s požiranjem, PEG,...), za pacienta skrbijo svojci/skrbniki);</w:t>
      </w:r>
    </w:p>
    <w:p w14:paraId="1F605DCF" w14:textId="77777777" w:rsidR="00AC6BCD" w:rsidRPr="000807E9" w:rsidRDefault="00AC6BCD" w:rsidP="00AC6BCD">
      <w:pPr>
        <w:pStyle w:val="Odstavekseznama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o</w:t>
      </w:r>
      <w:r w:rsidRPr="000807E9">
        <w:rPr>
          <w:rFonts w:ascii="Calibri" w:eastAsia="Times New Roman" w:hAnsi="Calibri" w:cs="Calibri"/>
          <w:lang w:eastAsia="sl-SI"/>
        </w:rPr>
        <w:t>dpuščenim iz bolnišnice, ki z upoštevanjem kriterijev za vključitev v program brezšivne skrbi, vanj še niso bili vključeni.</w:t>
      </w:r>
    </w:p>
    <w:p w14:paraId="4EFB8F9C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23C14378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364B73">
        <w:rPr>
          <w:rFonts w:ascii="Calibri" w:eastAsia="Times New Roman" w:hAnsi="Calibri" w:cs="Calibri"/>
          <w:b/>
          <w:bCs/>
          <w:lang w:eastAsia="sl-SI"/>
        </w:rPr>
        <w:t xml:space="preserve">Storitev PUZ se prednostno izvaja za paciente, ki v svojem zdravljenju z zdravili prejemajo več kot deset zdravil. </w:t>
      </w:r>
    </w:p>
    <w:p w14:paraId="4846065E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364B73">
        <w:rPr>
          <w:rFonts w:ascii="Calibri" w:eastAsia="Times New Roman" w:hAnsi="Calibri" w:cs="Calibri"/>
          <w:lang w:eastAsia="sl-SI"/>
        </w:rPr>
        <w:t xml:space="preserve">V okviru storitve PUZ farmacevt izdela tudi OKZ in ga prenese v CRPP. </w:t>
      </w:r>
    </w:p>
    <w:p w14:paraId="416F31B2" w14:textId="77777777" w:rsidR="00AC6BCD" w:rsidRPr="008B0F3E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364B73">
        <w:rPr>
          <w:rFonts w:ascii="Calibri" w:eastAsia="Times New Roman" w:hAnsi="Calibri" w:cs="Calibri"/>
          <w:lang w:eastAsia="sl-SI"/>
        </w:rPr>
        <w:t>Poleg storitve PUZ se ne sme zaračunati nobena druga storitev v okviru BS.</w:t>
      </w:r>
    </w:p>
    <w:p w14:paraId="61D24291" w14:textId="77777777" w:rsidR="00AC6BCD" w:rsidRPr="00364B73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A50AAC3" w14:textId="77777777" w:rsidR="00AC6BCD" w:rsidRPr="003B50B5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  <w:r w:rsidRPr="00D024D5">
        <w:rPr>
          <w:rFonts w:ascii="Calibri" w:eastAsia="Times New Roman" w:hAnsi="Calibri" w:cs="Calibri"/>
          <w:color w:val="000000" w:themeColor="text1"/>
          <w:u w:val="single"/>
          <w:lang w:eastAsia="sl-SI"/>
        </w:rPr>
        <w:t>kPUZ v okviru brezšivne skrbi se izvede le za paciente</w:t>
      </w:r>
      <w:r w:rsidRPr="003B50B5">
        <w:rPr>
          <w:rFonts w:ascii="Calibri" w:eastAsia="Times New Roman" w:hAnsi="Calibri" w:cs="Calibri"/>
          <w:color w:val="000000" w:themeColor="text1"/>
          <w:lang w:eastAsia="sl-SI"/>
        </w:rPr>
        <w:t>, ki jim je bila predhodno izvedena storitev brezšivne skrbi v bolnišnični obravnavi ali storitev pregled uporabe zdravil v lekarni na primarni ravni</w:t>
      </w:r>
      <w:r>
        <w:rPr>
          <w:rFonts w:ascii="Calibri" w:eastAsia="Times New Roman" w:hAnsi="Calibri" w:cs="Calibri"/>
          <w:color w:val="000000" w:themeColor="text1"/>
          <w:lang w:eastAsia="sl-SI"/>
        </w:rPr>
        <w:t>, in sicer</w:t>
      </w:r>
      <w:r w:rsidRPr="003B50B5">
        <w:rPr>
          <w:rFonts w:ascii="Calibri" w:eastAsia="Times New Roman" w:hAnsi="Calibri" w:cs="Calibri"/>
          <w:color w:val="000000" w:themeColor="text1"/>
          <w:lang w:eastAsia="sl-SI"/>
        </w:rPr>
        <w:t>:</w:t>
      </w:r>
    </w:p>
    <w:p w14:paraId="63B3DEDE" w14:textId="77777777" w:rsidR="00AC6BCD" w:rsidRPr="008B0F3E" w:rsidRDefault="00AC6BCD" w:rsidP="00AC6BCD">
      <w:pPr>
        <w:pStyle w:val="Odstavekseznama"/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  <w:r w:rsidRPr="008B0F3E">
        <w:rPr>
          <w:rFonts w:ascii="Calibri" w:eastAsia="Times New Roman" w:hAnsi="Calibri" w:cs="Calibri"/>
          <w:color w:val="000000" w:themeColor="text1"/>
          <w:lang w:eastAsia="sl-SI"/>
        </w:rPr>
        <w:t>ob uvedbi novega zdravila, ki zahteva kontrolni pregled celotnega zdravljenja z zdravili zaradi možnih klinično pomembnih interakcij;</w:t>
      </w:r>
    </w:p>
    <w:p w14:paraId="0679D74C" w14:textId="77777777" w:rsidR="00AC6BCD" w:rsidRPr="008B0F3E" w:rsidRDefault="00AC6BCD" w:rsidP="00AC6BCD">
      <w:pPr>
        <w:pStyle w:val="Odstavekseznama"/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  <w:r w:rsidRPr="008B0F3E">
        <w:rPr>
          <w:rFonts w:ascii="Calibri" w:eastAsia="Times New Roman" w:hAnsi="Calibri" w:cs="Calibri"/>
          <w:color w:val="000000" w:themeColor="text1"/>
          <w:lang w:eastAsia="sl-SI"/>
        </w:rPr>
        <w:t>s slabšim sodelovanjem pri zdravljenju z zdravili.</w:t>
      </w:r>
    </w:p>
    <w:p w14:paraId="0B4540A0" w14:textId="77777777" w:rsidR="00AC6BCD" w:rsidRPr="003B50B5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</w:p>
    <w:p w14:paraId="7ACCEE92" w14:textId="77777777" w:rsidR="00AC6BCD" w:rsidRPr="003B50B5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  <w:r w:rsidRPr="003B50B5">
        <w:rPr>
          <w:rFonts w:ascii="Calibri" w:eastAsia="Times New Roman" w:hAnsi="Calibri" w:cs="Calibri"/>
          <w:color w:val="000000" w:themeColor="text1"/>
          <w:lang w:eastAsia="sl-SI"/>
        </w:rPr>
        <w:t>V okviru te storitve farmacevt posodobi tudi OKZ in jo prenese v CRPP.</w:t>
      </w:r>
    </w:p>
    <w:p w14:paraId="22E95CF0" w14:textId="77777777" w:rsidR="00AC6BCD" w:rsidRPr="003B50B5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sl-SI"/>
        </w:rPr>
      </w:pPr>
      <w:r w:rsidRPr="003B50B5">
        <w:rPr>
          <w:rFonts w:ascii="Calibri" w:eastAsia="Times New Roman" w:hAnsi="Calibri" w:cs="Calibri"/>
          <w:color w:val="000000" w:themeColor="text1"/>
          <w:lang w:eastAsia="sl-SI"/>
        </w:rPr>
        <w:t xml:space="preserve">Poleg storitve kPUZ se ne sme </w:t>
      </w:r>
      <w:r>
        <w:rPr>
          <w:rFonts w:ascii="Calibri" w:eastAsia="Times New Roman" w:hAnsi="Calibri" w:cs="Calibri"/>
          <w:color w:val="000000" w:themeColor="text1"/>
          <w:lang w:eastAsia="sl-SI"/>
        </w:rPr>
        <w:t>sočasno ob</w:t>
      </w:r>
      <w:r w:rsidRPr="003B50B5">
        <w:rPr>
          <w:rFonts w:ascii="Calibri" w:eastAsia="Times New Roman" w:hAnsi="Calibri" w:cs="Calibri"/>
          <w:color w:val="000000" w:themeColor="text1"/>
          <w:lang w:eastAsia="sl-SI"/>
        </w:rPr>
        <w:t>računati nobena druga storitev v okviru BS.</w:t>
      </w:r>
    </w:p>
    <w:p w14:paraId="6D9F2D70" w14:textId="77777777" w:rsidR="00AC6BCD" w:rsidRPr="001E6EBF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l-SI"/>
        </w:rPr>
      </w:pPr>
    </w:p>
    <w:p w14:paraId="0E9F221E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 xml:space="preserve">PUZ vključuje triažo pacienta skladno z nacionalnimi kriteriji za vključitev v BS, pridobitev podatkov o pacientu in njegovem zdravljenju z zdravili, primerjavo predpisane terapije z dejanskim jemanjem, ugotovitve neskladja in usklajevanje z bolnikom, pripravo in vročitev OKZ ter opolnomočitev pacienta o pravilnem zdravljenju z zdravili. V primeru ugotovitve neustreznosti terapije ali identifikacije težav, povezanih z zdravili, farmacevt </w:t>
      </w:r>
      <w:r>
        <w:rPr>
          <w:rFonts w:ascii="Calibri" w:eastAsia="Times New Roman" w:hAnsi="Calibri" w:cs="Calibri"/>
          <w:lang w:eastAsia="sl-SI"/>
        </w:rPr>
        <w:t>izvede farmacevtsko intervencijo</w:t>
      </w:r>
      <w:r w:rsidRPr="00BA0497">
        <w:rPr>
          <w:rFonts w:ascii="Calibri" w:eastAsia="Times New Roman" w:hAnsi="Calibri" w:cs="Calibri"/>
          <w:lang w:eastAsia="sl-SI"/>
        </w:rPr>
        <w:t xml:space="preserve">. </w:t>
      </w:r>
    </w:p>
    <w:p w14:paraId="09EC9944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4C07A4D" w14:textId="77777777" w:rsidR="00AC6BCD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>V okviru kPUZ se izvede enake korake/postopke razen triaže pacienta skladno z nacionalnimi kriteriji za vključitev v BS ter pridobitve podatkov o pacientu in njegovem zdravljenju z zdravili.</w:t>
      </w:r>
      <w:r w:rsidRPr="00452179">
        <w:rPr>
          <w:rFonts w:ascii="Calibri" w:eastAsia="Times New Roman" w:hAnsi="Calibri" w:cs="Calibri"/>
          <w:lang w:eastAsia="sl-SI"/>
        </w:rPr>
        <w:t xml:space="preserve"> </w:t>
      </w:r>
    </w:p>
    <w:p w14:paraId="7720C971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2179">
        <w:rPr>
          <w:rFonts w:ascii="Calibri" w:eastAsia="Times New Roman" w:hAnsi="Calibri" w:cs="Calibri"/>
          <w:lang w:eastAsia="sl-SI"/>
        </w:rPr>
        <w:t xml:space="preserve">Opredelitev kriterijev in </w:t>
      </w:r>
      <w:r w:rsidRPr="00BA0497">
        <w:rPr>
          <w:rFonts w:ascii="Calibri" w:eastAsia="Times New Roman" w:hAnsi="Calibri" w:cs="Calibri"/>
          <w:lang w:eastAsia="sl-SI"/>
        </w:rPr>
        <w:t>podatki o izvedenih postopkih v okviru PUZ in kPUZ morajo biti dokumentirani.</w:t>
      </w:r>
    </w:p>
    <w:p w14:paraId="3FDCDC5A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6FE3C8B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 xml:space="preserve">Storitvi PUZ in kPUZ izvajajo magistri farmacije z licenco in pridobljeno kompetenco za izvajanje PUZ. </w:t>
      </w:r>
    </w:p>
    <w:p w14:paraId="32655DCA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>Seznam oseb, ki lahko opravljajo storitev PUZ, pripravi in redno posodablja Lekarniška zbornica Slovenije, Zavod pa ga objavi na svojih spletnih straneh.</w:t>
      </w:r>
    </w:p>
    <w:p w14:paraId="75CBD82F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831800E" w14:textId="5FAA27FC" w:rsidR="00AC6BCD" w:rsidRPr="001E6B58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1E6B58">
        <w:rPr>
          <w:rFonts w:ascii="Calibri" w:eastAsia="Times New Roman" w:hAnsi="Calibri" w:cs="Calibri"/>
          <w:b/>
          <w:bCs/>
          <w:lang w:eastAsia="sl-SI"/>
        </w:rPr>
        <w:t>Pacient je upravičen do največ 1 storitve PUZ in 1 storitve kPUZ v breme obveznega zdravstvenega zavarovanja v obdobju enega leta.</w:t>
      </w:r>
    </w:p>
    <w:p w14:paraId="0E0A7207" w14:textId="77777777" w:rsidR="00AC6BCD" w:rsidRPr="00BA0497" w:rsidRDefault="00AC6BCD" w:rsidP="00AC6BCD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>Storitev kPUZ se izvede v isti lekarni (lokal), kjer je bila predhodno izvedena storitev pregleda uporabe zdravil.</w:t>
      </w:r>
    </w:p>
    <w:p w14:paraId="41C54152" w14:textId="77777777" w:rsidR="00AC6BCD" w:rsidRPr="00BA0497" w:rsidRDefault="00AC6BCD" w:rsidP="00AC6BCD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767CB45" w14:textId="77777777" w:rsidR="00AC6BCD" w:rsidRPr="00BA0497" w:rsidRDefault="00AC6BCD" w:rsidP="00AC6BCD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lang w:eastAsia="sl-SI"/>
        </w:rPr>
      </w:pPr>
      <w:r w:rsidRPr="00BA0497">
        <w:rPr>
          <w:rFonts w:ascii="Calibri" w:eastAsia="Times New Roman" w:hAnsi="Calibri" w:cs="Calibri"/>
          <w:lang w:eastAsia="sl-SI"/>
        </w:rPr>
        <w:t>Pogoj za plačilo storitve PUZ, kPUZ in pOKZ je prenos OKZ v CRPP.</w:t>
      </w:r>
    </w:p>
    <w:p w14:paraId="73EDDFCB" w14:textId="77777777" w:rsidR="00AC6BCD" w:rsidRPr="00A81EB8" w:rsidRDefault="00AC6BCD" w:rsidP="00AC6BCD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</w:p>
    <w:p w14:paraId="07AF64C3" w14:textId="2E5E531B" w:rsidR="00AC6BCD" w:rsidRDefault="00AC6BCD" w:rsidP="00AC6BC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81EB8">
        <w:rPr>
          <w:rFonts w:eastAsia="Times New Roman" w:cstheme="minorHAnsi"/>
          <w:lang w:eastAsia="sl-SI"/>
        </w:rPr>
        <w:t xml:space="preserve">Farmacevt v lekarni bo pacientom, ki so bili </w:t>
      </w:r>
      <w:r w:rsidRPr="00A81EB8">
        <w:rPr>
          <w:rFonts w:eastAsia="Times New Roman" w:cstheme="minorHAnsi"/>
          <w:b/>
          <w:bCs/>
          <w:lang w:eastAsia="sl-SI"/>
        </w:rPr>
        <w:t xml:space="preserve">v okviru bolnišnične obravnave </w:t>
      </w:r>
      <w:r>
        <w:rPr>
          <w:rFonts w:eastAsia="Times New Roman" w:cstheme="minorHAnsi"/>
          <w:b/>
          <w:bCs/>
          <w:lang w:eastAsia="sl-SI"/>
        </w:rPr>
        <w:t xml:space="preserve">ali obravnave v lekarni na primarni ravni (predhodno opravljena storitev PUZ in kPUZ) </w:t>
      </w:r>
      <w:r w:rsidRPr="00A81EB8">
        <w:rPr>
          <w:rFonts w:eastAsia="Times New Roman" w:cstheme="minorHAnsi"/>
          <w:b/>
          <w:bCs/>
          <w:lang w:eastAsia="sl-SI"/>
        </w:rPr>
        <w:t xml:space="preserve">vključeni v </w:t>
      </w:r>
      <w:r w:rsidR="00835A16">
        <w:rPr>
          <w:rFonts w:eastAsia="Times New Roman" w:cstheme="minorHAnsi"/>
          <w:b/>
          <w:bCs/>
          <w:lang w:eastAsia="sl-SI"/>
        </w:rPr>
        <w:t>BS</w:t>
      </w:r>
      <w:r w:rsidRPr="00A81EB8">
        <w:rPr>
          <w:rFonts w:eastAsia="Times New Roman" w:cstheme="minorHAnsi"/>
          <w:b/>
          <w:bCs/>
          <w:lang w:eastAsia="sl-SI"/>
        </w:rPr>
        <w:t xml:space="preserve"> z izdelano in v CRPP preneseno OKZ</w:t>
      </w:r>
      <w:r w:rsidRPr="00A81EB8">
        <w:rPr>
          <w:rFonts w:eastAsia="Times New Roman" w:cstheme="minorHAnsi"/>
          <w:lang w:eastAsia="sl-SI"/>
        </w:rPr>
        <w:t>, ob spremembi zdravljenja z zdravili, posodobil OKZ in jo v papirni obliki vročil pacientu.</w:t>
      </w:r>
      <w:r>
        <w:rPr>
          <w:rFonts w:eastAsia="Times New Roman" w:cstheme="minorHAnsi"/>
          <w:lang w:eastAsia="sl-SI"/>
        </w:rPr>
        <w:t xml:space="preserve"> </w:t>
      </w:r>
      <w:r w:rsidRPr="000807E9">
        <w:rPr>
          <w:rFonts w:eastAsia="Times New Roman" w:cstheme="minorHAnsi"/>
          <w:b/>
          <w:bCs/>
          <w:lang w:eastAsia="sl-SI"/>
        </w:rPr>
        <w:t>Storitev pOKZ se ne sme obračunati sočasno s storitvijo PUZ oz. kPUZ.</w:t>
      </w:r>
    </w:p>
    <w:p w14:paraId="6EB9439C" w14:textId="77777777" w:rsidR="00AC6BCD" w:rsidRPr="00A81EB8" w:rsidRDefault="00AC6BCD" w:rsidP="00AC6BCD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463AF68" w14:textId="47F88BBA" w:rsidR="00AC6BCD" w:rsidRPr="00A81EB8" w:rsidRDefault="00AC6BCD" w:rsidP="00AC6BC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81EB8">
        <w:rPr>
          <w:rFonts w:eastAsia="Times New Roman" w:cstheme="minorHAnsi"/>
          <w:lang w:eastAsia="sl-SI"/>
        </w:rPr>
        <w:t xml:space="preserve">Za paciente z izdelano OKZ v lekarnah izven programa </w:t>
      </w:r>
      <w:r w:rsidR="00835A16">
        <w:rPr>
          <w:rFonts w:eastAsia="Times New Roman" w:cstheme="minorHAnsi"/>
          <w:lang w:eastAsia="sl-SI"/>
        </w:rPr>
        <w:t>BS</w:t>
      </w:r>
      <w:r w:rsidRPr="00A81EB8">
        <w:rPr>
          <w:rFonts w:eastAsia="Times New Roman" w:cstheme="minorHAnsi"/>
          <w:lang w:eastAsia="sl-SI"/>
        </w:rPr>
        <w:t>, se posodobitev OKZ ne sme obračunati v breme OZZ. V navedenem primeru je zavarovana oseba za opravljeno storitev samoplačnik.</w:t>
      </w:r>
    </w:p>
    <w:p w14:paraId="31E07F0C" w14:textId="77777777" w:rsidR="0047519A" w:rsidRPr="00A81EB8" w:rsidRDefault="0047519A" w:rsidP="0047519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C76C17C" w14:textId="77777777" w:rsidR="0047519A" w:rsidRPr="00A81EB8" w:rsidRDefault="0047519A" w:rsidP="0047519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A81EB8">
        <w:rPr>
          <w:rFonts w:eastAsia="Times New Roman" w:cstheme="minorHAnsi"/>
          <w:b/>
          <w:bCs/>
          <w:color w:val="000000"/>
          <w:lang w:eastAsia="sl-SI"/>
        </w:rPr>
        <w:t xml:space="preserve">Navodilo za obračun </w:t>
      </w:r>
    </w:p>
    <w:p w14:paraId="42E96885" w14:textId="77777777" w:rsidR="0047519A" w:rsidRPr="00A81EB8" w:rsidRDefault="0047519A" w:rsidP="0047519A">
      <w:pPr>
        <w:spacing w:after="0" w:line="240" w:lineRule="auto"/>
        <w:jc w:val="both"/>
        <w:rPr>
          <w:rFonts w:eastAsia="Calibri" w:cstheme="minorHAnsi"/>
          <w:lang w:eastAsia="sl-SI"/>
        </w:rPr>
      </w:pPr>
    </w:p>
    <w:p w14:paraId="0F5B922F" w14:textId="5E9D4ACE" w:rsidR="0047519A" w:rsidRPr="00A81EB8" w:rsidRDefault="0047519A" w:rsidP="0047519A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  <w:r w:rsidRPr="00A81EB8">
        <w:rPr>
          <w:rFonts w:eastAsia="Calibri" w:cstheme="minorHAnsi"/>
          <w:color w:val="000000"/>
          <w:lang w:eastAsia="sl-SI"/>
        </w:rPr>
        <w:t>Skladno z navedenim uvajamo nov</w:t>
      </w:r>
      <w:r>
        <w:rPr>
          <w:rFonts w:eastAsia="Calibri" w:cstheme="minorHAnsi"/>
          <w:color w:val="000000"/>
          <w:lang w:eastAsia="sl-SI"/>
        </w:rPr>
        <w:t>i</w:t>
      </w:r>
      <w:r w:rsidRPr="00A81EB8">
        <w:rPr>
          <w:rFonts w:eastAsia="Calibri" w:cstheme="minorHAnsi"/>
          <w:color w:val="000000"/>
          <w:lang w:eastAsia="sl-SI"/>
        </w:rPr>
        <w:t xml:space="preserve"> storitv</w:t>
      </w:r>
      <w:r>
        <w:rPr>
          <w:rFonts w:eastAsia="Calibri" w:cstheme="minorHAnsi"/>
          <w:color w:val="000000"/>
          <w:lang w:eastAsia="sl-SI"/>
        </w:rPr>
        <w:t xml:space="preserve">i </w:t>
      </w:r>
      <w:r w:rsidRPr="00A81EB8">
        <w:rPr>
          <w:rFonts w:eastAsia="Calibri" w:cstheme="minorHAnsi"/>
          <w:color w:val="000000"/>
          <w:lang w:eastAsia="sl-SI"/>
        </w:rPr>
        <w:t>7501</w:t>
      </w:r>
      <w:r>
        <w:rPr>
          <w:rFonts w:eastAsia="Calibri" w:cstheme="minorHAnsi"/>
          <w:color w:val="000000"/>
          <w:lang w:eastAsia="sl-SI"/>
        </w:rPr>
        <w:t>1</w:t>
      </w:r>
      <w:r w:rsidRPr="00A81EB8">
        <w:rPr>
          <w:rFonts w:eastAsia="Calibri" w:cstheme="minorHAnsi"/>
          <w:color w:val="000000"/>
          <w:lang w:eastAsia="sl-SI"/>
        </w:rPr>
        <w:t xml:space="preserve"> »</w:t>
      </w:r>
      <w:r>
        <w:rPr>
          <w:rFonts w:eastAsia="Calibri" w:cstheme="minorHAnsi"/>
          <w:color w:val="000000"/>
          <w:lang w:eastAsia="sl-SI"/>
        </w:rPr>
        <w:t>PUZ</w:t>
      </w:r>
      <w:r w:rsidRPr="00A81EB8">
        <w:rPr>
          <w:rFonts w:eastAsia="Calibri" w:cstheme="minorHAnsi"/>
          <w:color w:val="000000"/>
          <w:lang w:eastAsia="sl-SI"/>
        </w:rPr>
        <w:t xml:space="preserve">« </w:t>
      </w:r>
      <w:r>
        <w:rPr>
          <w:rFonts w:eastAsia="Calibri" w:cstheme="minorHAnsi"/>
          <w:color w:val="000000"/>
          <w:lang w:eastAsia="sl-SI"/>
        </w:rPr>
        <w:t xml:space="preserve">in </w:t>
      </w:r>
      <w:r w:rsidRPr="00A81EB8">
        <w:rPr>
          <w:rFonts w:eastAsia="Calibri" w:cstheme="minorHAnsi"/>
          <w:color w:val="000000"/>
          <w:lang w:eastAsia="sl-SI"/>
        </w:rPr>
        <w:t>7501</w:t>
      </w:r>
      <w:r>
        <w:rPr>
          <w:rFonts w:eastAsia="Calibri" w:cstheme="minorHAnsi"/>
          <w:color w:val="000000"/>
          <w:lang w:eastAsia="sl-SI"/>
        </w:rPr>
        <w:t>2</w:t>
      </w:r>
      <w:r w:rsidRPr="00A81EB8">
        <w:rPr>
          <w:rFonts w:eastAsia="Calibri" w:cstheme="minorHAnsi"/>
          <w:color w:val="000000"/>
          <w:lang w:eastAsia="sl-SI"/>
        </w:rPr>
        <w:t xml:space="preserve"> »</w:t>
      </w:r>
      <w:r>
        <w:rPr>
          <w:rFonts w:eastAsia="Calibri" w:cstheme="minorHAnsi"/>
          <w:color w:val="000000"/>
          <w:lang w:eastAsia="sl-SI"/>
        </w:rPr>
        <w:t>kPUZ</w:t>
      </w:r>
      <w:r w:rsidRPr="00A81EB8">
        <w:rPr>
          <w:rFonts w:eastAsia="Calibri" w:cstheme="minorHAnsi"/>
          <w:color w:val="000000"/>
          <w:lang w:eastAsia="sl-SI"/>
        </w:rPr>
        <w:t>«</w:t>
      </w:r>
      <w:r>
        <w:rPr>
          <w:rFonts w:eastAsia="Calibri" w:cstheme="minorHAnsi"/>
          <w:color w:val="000000"/>
          <w:lang w:eastAsia="sl-SI"/>
        </w:rPr>
        <w:t xml:space="preserve"> ter dopoln</w:t>
      </w:r>
      <w:r w:rsidR="008B0F3E">
        <w:rPr>
          <w:rFonts w:eastAsia="Calibri" w:cstheme="minorHAnsi"/>
          <w:color w:val="000000"/>
          <w:lang w:eastAsia="sl-SI"/>
        </w:rPr>
        <w:t>jujemo</w:t>
      </w:r>
      <w:r>
        <w:rPr>
          <w:rFonts w:eastAsia="Calibri" w:cstheme="minorHAnsi"/>
          <w:color w:val="000000"/>
          <w:lang w:eastAsia="sl-SI"/>
        </w:rPr>
        <w:t xml:space="preserve"> dolg opis storitve </w:t>
      </w:r>
      <w:r w:rsidRPr="00A81EB8">
        <w:rPr>
          <w:rFonts w:eastAsia="Calibri" w:cstheme="minorHAnsi"/>
          <w:color w:val="000000"/>
          <w:lang w:eastAsia="sl-SI"/>
        </w:rPr>
        <w:t>75010 »pOKZ« v seznam</w:t>
      </w:r>
      <w:r>
        <w:rPr>
          <w:rFonts w:eastAsia="Calibri" w:cstheme="minorHAnsi"/>
          <w:color w:val="000000"/>
          <w:lang w:eastAsia="sl-SI"/>
        </w:rPr>
        <w:t>u</w:t>
      </w:r>
      <w:r w:rsidRPr="00A81EB8">
        <w:rPr>
          <w:rFonts w:eastAsia="Calibri" w:cstheme="minorHAnsi"/>
          <w:color w:val="000000"/>
          <w:lang w:eastAsia="sl-SI"/>
        </w:rPr>
        <w:t xml:space="preserve"> storitev 15.145 </w:t>
      </w:r>
      <w:r w:rsidRPr="00A81EB8">
        <w:rPr>
          <w:rFonts w:eastAsiaTheme="minorEastAsia"/>
          <w:lang w:eastAsia="sl-SI"/>
        </w:rPr>
        <w:t>»Kognitivne storitve v lekarniški dejavnosti (743 608)«</w:t>
      </w:r>
      <w:r w:rsidRPr="00A81EB8">
        <w:rPr>
          <w:rFonts w:eastAsia="Calibri" w:cstheme="minorHAnsi"/>
          <w:color w:val="000000"/>
          <w:lang w:eastAsia="sl-SI"/>
        </w:rPr>
        <w:t>:</w:t>
      </w:r>
    </w:p>
    <w:p w14:paraId="4703BCB6" w14:textId="77777777" w:rsidR="0047519A" w:rsidRPr="00A81EB8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850"/>
        <w:gridCol w:w="5103"/>
        <w:gridCol w:w="709"/>
        <w:gridCol w:w="851"/>
        <w:gridCol w:w="992"/>
      </w:tblGrid>
      <w:tr w:rsidR="0047519A" w:rsidRPr="00A81EB8" w14:paraId="53B84BF3" w14:textId="77777777" w:rsidTr="00BF7423">
        <w:trPr>
          <w:trHeight w:val="28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6B6F53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9AC1DB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0BCE65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Dolg 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F9B862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Naziv enote mere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234A37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Št. enot mere</w:t>
            </w:r>
          </w:p>
          <w:p w14:paraId="47E2E5D0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97417D" w14:textId="77777777" w:rsidR="0047519A" w:rsidRPr="00630740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Kadrovski normativ</w:t>
            </w:r>
          </w:p>
        </w:tc>
      </w:tr>
      <w:tr w:rsidR="0047519A" w:rsidRPr="00A81EB8" w14:paraId="4676C8AC" w14:textId="77777777" w:rsidTr="00BF7423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8690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bookmarkStart w:id="16" w:name="_Hlk133400103"/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21A0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PUZ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5D64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PUZ - pregled uporabe zdravil v okviru brezšivne skrbi za paciente:</w:t>
            </w:r>
          </w:p>
          <w:p w14:paraId="038E9761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- s polifarmakoterapijo (5 ali več zdravil) kroničnih nenalezljivih bolezni, s pogostimi hospitalizacijami oz. spremembami v terapiji z zdravili;</w:t>
            </w:r>
          </w:p>
          <w:p w14:paraId="105213BF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- s slabšim sodelovanjem pri zdravljenju z zdravili (slabo razumevanje ali nepoznavanje terapije, slabše kognitivne sposobnosti, fizične omejitve pacienta (težave s požiranjem, PEG,...), za pacienta skrbijo svojci/skrbniki);</w:t>
            </w:r>
          </w:p>
          <w:p w14:paraId="37CC4002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- odpuščene iz bolnišnice, ki z upoštevanjem kriterijev za vključitev v program brezšivne skrbi vanj še niso bili vključeni.</w:t>
            </w:r>
          </w:p>
          <w:p w14:paraId="31C05A5A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PUZ vključuje triažo pacienta skladno z nacionalnimi kriteriji za vključitev v brezšivno skrb, pridobitev podatkov o pacientu in njegovem zdravljenju z zdravili, primerjavo predpisane terapije z dejanskim jemanjem, ugotovitve neskladja in usklajevanje z bolnikom, pripravo in vročitev OKZ ter opolnomočitev pacienta o pravilnem zdravljenju z zdravili. V primeru ugotovitve neustreznosti terapije ali identifikacije težav, povezanih z zdravili, obvesti osebnega izbranega zdravnika. </w:t>
            </w:r>
          </w:p>
          <w:p w14:paraId="3B570F6E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Storitev izvajajo magistri farmacije z licenco in pridobljeno kompetenco za izvajanje PUZ. </w:t>
            </w:r>
          </w:p>
          <w:p w14:paraId="15F7B58C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Seznam oseb, ki lahko opravljajo storitev PUZ, pripravi in redno posodablja Lekarniška zbornica Slovenije, Zavod pa ga objavi na svojih spletnih straneh.</w:t>
            </w:r>
          </w:p>
          <w:p w14:paraId="5AFC7361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Storitev se sme za posameznega pacienta obračunati le enkrat v obdobju enega leta.</w:t>
            </w:r>
          </w:p>
          <w:p w14:paraId="20C656A4" w14:textId="21E340EF" w:rsidR="0047519A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Pogoj za plačilo storitve je prenos OKZ v CRPP.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868D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točka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92C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A0D5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 magister farmacije z licenco</w:t>
            </w:r>
          </w:p>
        </w:tc>
      </w:tr>
      <w:bookmarkEnd w:id="16"/>
      <w:tr w:rsidR="0047519A" w:rsidRPr="00A81EB8" w14:paraId="3C7498ED" w14:textId="77777777" w:rsidTr="00BF7423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384A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75012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457F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kPUZ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388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kPUZ - kontrolni pregled uporabe zdravil v okviru brezšivne skrbi za paciente, ki jim je bila predhodno izvedena storitev brezšivne skrbi v bolnišnični obravnavi ali storitev pregled uporabe zdravil v lekarni na primarnem nivoju z izdelano in v CRPP preneseno OKZ:</w:t>
            </w:r>
          </w:p>
          <w:p w14:paraId="4C6194E8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- ob uvedbi novega zdravila, ki zahteva kontrolni pregled celotnega zdravljenja z zdravili;</w:t>
            </w:r>
          </w:p>
          <w:p w14:paraId="569A7394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- s slabšim sodelovanjem pri zdravljenju z zdravili.</w:t>
            </w:r>
          </w:p>
          <w:p w14:paraId="7E50D2CC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kPUZ vključuje primerjavo predpisane terapije z dejanskim jemanjem, ugotovitve neskladja in usklajevanje z bolnikom, pripravo in vročitev OKZ ter opolnomočitev pacienta o pravilnem zdravljenju z zdravili. V primeru ugotovitve neustreznosti terapije ali identifikacije težav, povezanih z zdravili, obvesti osebnega izbranega zdravnika.  </w:t>
            </w:r>
          </w:p>
          <w:p w14:paraId="7DB3DABC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Storitev izvajajo magistri farmacije z licenco in pridobljeno kompetenco za izvajanje PUZ.</w:t>
            </w:r>
          </w:p>
          <w:p w14:paraId="77DB5D99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Seznam oseb, ki lahko opravljajo storitev PUZ, pripravi in redno posodablja Lekarniška zbornica Slovenije, Zavod pa ga objavi na svojih spletnih straneh.</w:t>
            </w:r>
          </w:p>
          <w:p w14:paraId="35A2A7CD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Storitev se izvede v lekarni, kjer je bila predhodno izvedena storitev pregleda uporabe zdravil (isti lokal).</w:t>
            </w:r>
          </w:p>
          <w:p w14:paraId="3C0C28A2" w14:textId="77777777" w:rsidR="003F7D76" w:rsidRPr="003F7D76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Storitev se sme za posameznega pacienta obračunati le enkrat v obdobju enega leta.</w:t>
            </w:r>
          </w:p>
          <w:p w14:paraId="5998037D" w14:textId="397F9B6E" w:rsidR="0047519A" w:rsidRPr="008B0F3E" w:rsidRDefault="003F7D76" w:rsidP="003F7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F7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Pogoj za plačilo storitev je prenos OKZ v CRPP.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AC40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točka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EB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10B21" w14:textId="77777777" w:rsidR="0047519A" w:rsidRPr="008B0F3E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B0F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 magister farmacije z licenco</w:t>
            </w:r>
          </w:p>
        </w:tc>
      </w:tr>
    </w:tbl>
    <w:p w14:paraId="601B8ED1" w14:textId="77777777" w:rsidR="0047519A" w:rsidRPr="00A81EB8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992"/>
        <w:gridCol w:w="1559"/>
        <w:gridCol w:w="851"/>
        <w:gridCol w:w="1559"/>
        <w:gridCol w:w="851"/>
        <w:gridCol w:w="992"/>
        <w:gridCol w:w="992"/>
        <w:gridCol w:w="709"/>
      </w:tblGrid>
      <w:tr w:rsidR="0047519A" w:rsidRPr="00A81EB8" w14:paraId="6FDF4535" w14:textId="77777777" w:rsidTr="00BF7423">
        <w:trPr>
          <w:trHeight w:val="28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C42D626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B1E2AB3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Normativ v min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58E606" w14:textId="77777777" w:rsidR="0047519A" w:rsidRPr="00630740" w:rsidRDefault="0047519A" w:rsidP="00BF7423">
            <w:pPr>
              <w:spacing w:after="0" w:line="240" w:lineRule="auto"/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 xml:space="preserve">Oznaka količine </w:t>
            </w:r>
          </w:p>
          <w:p w14:paraId="707D5B94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(1 - kol. je 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2F3015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cene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545E15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storitve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AA3E45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Tip storitve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23B39C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Evidenčna storitev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AE39A6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Nivo planiranja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E63DD7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630740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Šifrant 43</w:t>
            </w:r>
          </w:p>
        </w:tc>
      </w:tr>
      <w:tr w:rsidR="0047519A" w:rsidRPr="00A81EB8" w14:paraId="34ADB5BC" w14:textId="77777777" w:rsidTr="00BF7423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F5DE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75011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29FB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3DFB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77B6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5D6E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N - </w:t>
            </w:r>
            <w:r w:rsidRPr="00630740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neopredeljeno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1668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2 - TOC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EA2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C113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Z0036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6E4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Z0036</w:t>
            </w:r>
          </w:p>
        </w:tc>
      </w:tr>
      <w:tr w:rsidR="0047519A" w:rsidRPr="00A81EB8" w14:paraId="5A4F4752" w14:textId="77777777" w:rsidTr="00BF7423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BF59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75012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68D6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B9B9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E232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8E6" w14:textId="77777777" w:rsidR="0047519A" w:rsidRPr="00630740" w:rsidRDefault="0047519A" w:rsidP="00BF74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N - </w:t>
            </w:r>
            <w:r w:rsidRPr="00630740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neopredeljeno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D624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2 - TOC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DA9A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1047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Z0036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E75" w14:textId="77777777" w:rsidR="0047519A" w:rsidRPr="00630740" w:rsidRDefault="0047519A" w:rsidP="00BF7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074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Z0036</w:t>
            </w:r>
          </w:p>
        </w:tc>
      </w:tr>
    </w:tbl>
    <w:p w14:paraId="2E7008B4" w14:textId="77777777" w:rsidR="0047519A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850"/>
        <w:gridCol w:w="5103"/>
        <w:gridCol w:w="709"/>
        <w:gridCol w:w="851"/>
        <w:gridCol w:w="992"/>
      </w:tblGrid>
      <w:tr w:rsidR="0047519A" w:rsidRPr="00A81EB8" w14:paraId="27091153" w14:textId="77777777" w:rsidTr="00BF7423">
        <w:trPr>
          <w:trHeight w:val="28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0ABB28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BAB83D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3AB34E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Dolg 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FDAB8D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enote mere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AB0F80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Št. enot mere</w:t>
            </w:r>
          </w:p>
          <w:p w14:paraId="3C7E5BB8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9180DA" w14:textId="77777777" w:rsidR="0047519A" w:rsidRPr="00A81EB8" w:rsidRDefault="0047519A" w:rsidP="00BF7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Kadrovski normativ</w:t>
            </w:r>
          </w:p>
        </w:tc>
      </w:tr>
      <w:tr w:rsidR="0047519A" w:rsidRPr="00A81EB8" w14:paraId="6FBD2ED9" w14:textId="77777777" w:rsidTr="00BF7423">
        <w:trPr>
          <w:trHeight w:val="28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66BC" w14:textId="77777777" w:rsidR="0047519A" w:rsidRPr="00A81EB8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FC03" w14:textId="77777777" w:rsidR="0047519A" w:rsidRPr="00A81EB8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pOKZ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C24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pOKZ - posodobitev osebne kartice zdravil (OKZ) v okviru brezšivne skrbi ob naslednjih spremembah terapije z zdravili:</w:t>
            </w:r>
          </w:p>
          <w:p w14:paraId="76A6DE7A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-</w:t>
            </w: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ab/>
              <w:t>uvedba novega zdravila, pri čemer v primeru kratkotrajne terapije le za slabo sodelujoče paciente;</w:t>
            </w:r>
          </w:p>
          <w:p w14:paraId="7AB1E082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-</w:t>
            </w: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ab/>
              <w:t>ukinitev zdravila;</w:t>
            </w:r>
          </w:p>
          <w:p w14:paraId="14FED48A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-</w:t>
            </w: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ab/>
              <w:t>sprememba odmerjanja zdravila;</w:t>
            </w:r>
          </w:p>
          <w:p w14:paraId="0F2C689C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-</w:t>
            </w: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ab/>
              <w:t>zamenjava medsebojno zamenljivega zdravila, če je pacient sočasno seznanjen s pomenom zamenljivosti zdravila in je zamenljivost obeh zdravil evidentirana v OKZ.</w:t>
            </w:r>
          </w:p>
          <w:p w14:paraId="35B5DE2C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Storitev se sme obračunati, če je pacientu predhodno izvedena storitev brezšivne skrbi v okviru bolnišnične obravnave </w:t>
            </w:r>
            <w:r w:rsidRPr="00504A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ali storitev pregled uporabe zdravil (PUZ) v lekarni na primarni ravni.</w:t>
            </w:r>
          </w:p>
          <w:p w14:paraId="1D190BFD" w14:textId="77777777" w:rsidR="00504A59" w:rsidRPr="00504A59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Storitev pOKZ se ne sme obračunati sočasno s storitvijo PUZ oz. kPUZ.</w:t>
            </w:r>
          </w:p>
          <w:p w14:paraId="785AEB88" w14:textId="64ED9FC1" w:rsidR="0047519A" w:rsidRPr="00A81EB8" w:rsidRDefault="00504A59" w:rsidP="00504A5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4A5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Pogoj za plačilo storitve je prenos OKZ v CRPP.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AC0AF" w14:textId="77777777" w:rsidR="0047519A" w:rsidRPr="00A81EB8" w:rsidDel="00214646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točka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236" w14:textId="77777777" w:rsidR="0047519A" w:rsidRPr="00A81EB8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5D40" w14:textId="77777777" w:rsidR="0047519A" w:rsidRPr="00A81EB8" w:rsidRDefault="0047519A" w:rsidP="00BF7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 magister farmacije z licenco</w:t>
            </w:r>
          </w:p>
        </w:tc>
      </w:tr>
    </w:tbl>
    <w:p w14:paraId="47BB296D" w14:textId="0B807236" w:rsidR="0047519A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402B99D" w14:textId="43B8E321" w:rsidR="00097F37" w:rsidRDefault="005572EF" w:rsidP="005572EF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Ker se storitve 75010, 75011 in 75012 ne smejo obračunati istočasno, v povezovalnem šifrantu K14.1 »</w:t>
      </w:r>
      <w:r w:rsidRPr="005572EF">
        <w:rPr>
          <w:rFonts w:ascii="Calibri" w:eastAsia="Times New Roman" w:hAnsi="Calibri" w:cs="Calibri"/>
          <w:lang w:eastAsia="sl-SI"/>
        </w:rPr>
        <w:t>Izključujoče in soodvisne storitve v okviru ene obravnave z vključenimi pravili obračunavanja</w:t>
      </w:r>
      <w:r>
        <w:rPr>
          <w:rFonts w:ascii="Calibri" w:eastAsia="Times New Roman" w:hAnsi="Calibri" w:cs="Calibri"/>
          <w:lang w:eastAsia="sl-SI"/>
        </w:rPr>
        <w:t>« dopolnjujemo kontrolo ROB 0070 sklop 8.</w:t>
      </w:r>
    </w:p>
    <w:p w14:paraId="26EE4826" w14:textId="1B8E4585" w:rsidR="005572EF" w:rsidRDefault="005572EF" w:rsidP="005572EF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051CB47" w14:textId="042FB80F" w:rsidR="0047519A" w:rsidRDefault="005572EF" w:rsidP="005572EF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Za poročanje </w:t>
      </w:r>
      <w:r>
        <w:t>storitev PUZ in kPUZ v programu brezšivne skrbi v lekarnah na primarni ravni Zavod na strukturi »Obravnava« na nivoju obravnave dopolnjuje pravilo za navajanje podatka »RIZDDZ številka delavca« (dopolnitev označena s krepko pisavo)</w:t>
      </w:r>
      <w:r>
        <w:rPr>
          <w:rFonts w:ascii="Calibri" w:eastAsia="Times New Roman" w:hAnsi="Calibri" w:cs="Calibri"/>
          <w:lang w:eastAsia="sl-SI"/>
        </w:rPr>
        <w:t>:</w:t>
      </w:r>
    </w:p>
    <w:p w14:paraId="2D2B724C" w14:textId="77777777" w:rsidR="005572EF" w:rsidRPr="005572EF" w:rsidRDefault="005572EF" w:rsidP="005572EF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5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655"/>
      </w:tblGrid>
      <w:tr w:rsidR="0047519A" w:rsidRPr="007A4A2D" w14:paraId="2F4C583C" w14:textId="77777777" w:rsidTr="00BF7423">
        <w:trPr>
          <w:cantSplit/>
          <w:trHeight w:val="359"/>
          <w:tblHeader/>
        </w:trPr>
        <w:tc>
          <w:tcPr>
            <w:tcW w:w="1860" w:type="dxa"/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02C13" w14:textId="77777777" w:rsidR="0047519A" w:rsidRPr="007A4A2D" w:rsidRDefault="0047519A" w:rsidP="00BF7423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4A2D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Podatek</w:t>
            </w:r>
          </w:p>
        </w:tc>
        <w:tc>
          <w:tcPr>
            <w:tcW w:w="7655" w:type="dxa"/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7A11B" w14:textId="77777777" w:rsidR="0047519A" w:rsidRPr="007A4A2D" w:rsidRDefault="0047519A" w:rsidP="00BF7423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4A2D">
              <w:rPr>
                <w:rFonts w:ascii="Arial Narrow" w:hAnsi="Arial Narrow"/>
                <w:b/>
                <w:bCs/>
                <w:sz w:val="20"/>
                <w:szCs w:val="20"/>
              </w:rPr>
              <w:t>Opis, pravila za navajanje podatka</w:t>
            </w:r>
          </w:p>
        </w:tc>
      </w:tr>
      <w:tr w:rsidR="0047519A" w:rsidRPr="007A4A2D" w14:paraId="22D2DCB1" w14:textId="77777777" w:rsidTr="00BF7423">
        <w:trPr>
          <w:cantSplit/>
        </w:trPr>
        <w:tc>
          <w:tcPr>
            <w:tcW w:w="18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1BDF5" w14:textId="74948F5C" w:rsidR="0047519A" w:rsidRPr="007A4A2D" w:rsidRDefault="00566316" w:rsidP="00BF7423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RIZDDZ </w:t>
            </w:r>
            <w:r w:rsidR="0047519A" w:rsidRPr="008B0B8B">
              <w:rPr>
                <w:rFonts w:ascii="Arial Narrow" w:hAnsi="Arial Narrow"/>
                <w:sz w:val="20"/>
                <w:szCs w:val="20"/>
              </w:rPr>
              <w:t>številka delavca</w:t>
            </w:r>
          </w:p>
        </w:tc>
        <w:tc>
          <w:tcPr>
            <w:tcW w:w="76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11068" w14:textId="335BC61E" w:rsidR="0047519A" w:rsidRPr="008B0B8B" w:rsidRDefault="0047519A" w:rsidP="00BF7423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Arial Narrow" w:hAnsi="Arial Narrow"/>
                <w:sz w:val="20"/>
                <w:szCs w:val="20"/>
              </w:rPr>
            </w:pPr>
            <w:r w:rsidRPr="008B0B8B">
              <w:rPr>
                <w:rFonts w:ascii="Arial Narrow" w:hAnsi="Arial Narrow"/>
                <w:sz w:val="20"/>
                <w:szCs w:val="20"/>
              </w:rPr>
              <w:t xml:space="preserve">5-mestna šifra </w:t>
            </w:r>
            <w:r w:rsidR="00566316">
              <w:rPr>
                <w:rFonts w:ascii="Arial Narrow" w:hAnsi="Arial Narrow"/>
                <w:sz w:val="20"/>
                <w:szCs w:val="20"/>
              </w:rPr>
              <w:t>delavca iz Registra izvajalcev zdravstvene dejavnosti</w:t>
            </w:r>
            <w:r w:rsidR="0022437A">
              <w:rPr>
                <w:rFonts w:ascii="Arial Narrow" w:hAnsi="Arial Narrow"/>
                <w:sz w:val="20"/>
                <w:szCs w:val="20"/>
              </w:rPr>
              <w:t xml:space="preserve"> in delavcev v zdravstvu</w:t>
            </w:r>
            <w:r w:rsidRPr="008B0B8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22437A">
              <w:rPr>
                <w:rFonts w:ascii="Arial Narrow" w:hAnsi="Arial Narrow"/>
                <w:sz w:val="20"/>
                <w:szCs w:val="20"/>
              </w:rPr>
              <w:t>RIZDDZ</w:t>
            </w:r>
            <w:r w:rsidRPr="008B0B8B">
              <w:rPr>
                <w:rFonts w:ascii="Arial Narrow" w:hAnsi="Arial Narrow"/>
                <w:sz w:val="20"/>
                <w:szCs w:val="20"/>
              </w:rPr>
              <w:t xml:space="preserve">, šifrant 3). Če delavec ni vključen v </w:t>
            </w:r>
            <w:r w:rsidR="0022437A">
              <w:rPr>
                <w:rFonts w:ascii="Arial Narrow" w:hAnsi="Arial Narrow"/>
                <w:sz w:val="20"/>
                <w:szCs w:val="20"/>
              </w:rPr>
              <w:t>RIZDDZ</w:t>
            </w:r>
            <w:r w:rsidRPr="008B0B8B">
              <w:rPr>
                <w:rFonts w:ascii="Arial Narrow" w:hAnsi="Arial Narrow"/>
                <w:sz w:val="20"/>
                <w:szCs w:val="20"/>
              </w:rPr>
              <w:t xml:space="preserve">, se podatek ne navede. </w:t>
            </w:r>
          </w:p>
          <w:p w14:paraId="3C1F4CA9" w14:textId="7FCE5ADE" w:rsidR="0047519A" w:rsidRPr="0079287B" w:rsidRDefault="0047519A" w:rsidP="00BF7423">
            <w:pPr>
              <w:autoSpaceDE w:val="0"/>
              <w:autoSpaceDN w:val="0"/>
              <w:adjustRightInd w:val="0"/>
              <w:spacing w:before="20" w:after="20"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9287B">
              <w:rPr>
                <w:rFonts w:ascii="Arial Narrow" w:hAnsi="Arial Narrow"/>
                <w:bCs/>
                <w:sz w:val="20"/>
                <w:szCs w:val="20"/>
              </w:rPr>
              <w:t xml:space="preserve">V dejavnosti 302 001 se pri obračunu storitev E0612-E0615 v ta podatek vedno obvezno navede </w:t>
            </w:r>
            <w:r w:rsidR="00566316">
              <w:rPr>
                <w:rFonts w:ascii="Arial Narrow" w:hAnsi="Arial Narrow"/>
                <w:bCs/>
                <w:sz w:val="20"/>
                <w:szCs w:val="20"/>
              </w:rPr>
              <w:t>RIZDDZ</w:t>
            </w:r>
            <w:r w:rsidRPr="0079287B">
              <w:rPr>
                <w:rFonts w:ascii="Arial Narrow" w:hAnsi="Arial Narrow"/>
                <w:bCs/>
                <w:sz w:val="20"/>
                <w:szCs w:val="20"/>
              </w:rPr>
              <w:t xml:space="preserve"> številka delavca, ki je veljaven tudi v </w:t>
            </w:r>
            <w:r w:rsidRPr="00F42096">
              <w:rPr>
                <w:rFonts w:ascii="Arial Narrow" w:hAnsi="Arial Narrow"/>
                <w:bCs/>
                <w:strike/>
                <w:sz w:val="20"/>
                <w:szCs w:val="20"/>
              </w:rPr>
              <w:t>S</w:t>
            </w:r>
            <w:r w:rsidR="00F42096" w:rsidRPr="00F42096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79287B">
              <w:rPr>
                <w:rFonts w:ascii="Arial Narrow" w:hAnsi="Arial Narrow"/>
                <w:bCs/>
                <w:sz w:val="20"/>
                <w:szCs w:val="20"/>
              </w:rPr>
              <w:t xml:space="preserve">eznamu specialistov klinične farmacije, ki lahko opravljajo delo farmacevtskega svetovanja. V primeru nadomestnega zdravstvenega delavca se v to polje vpiše </w:t>
            </w:r>
            <w:r w:rsidR="0022437A">
              <w:rPr>
                <w:rFonts w:ascii="Arial Narrow" w:hAnsi="Arial Narrow"/>
                <w:bCs/>
                <w:sz w:val="20"/>
                <w:szCs w:val="20"/>
              </w:rPr>
              <w:t>RIZDDZ</w:t>
            </w:r>
            <w:r w:rsidR="0022437A" w:rsidRPr="0079287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9287B">
              <w:rPr>
                <w:rFonts w:ascii="Arial Narrow" w:hAnsi="Arial Narrow"/>
                <w:bCs/>
                <w:sz w:val="20"/>
                <w:szCs w:val="20"/>
              </w:rPr>
              <w:t>številka delavca, ki ga nadomestni zdravstveni delavec nadomešča.</w:t>
            </w:r>
          </w:p>
          <w:p w14:paraId="17CCB1EF" w14:textId="455C44F6" w:rsidR="0047519A" w:rsidRPr="007A4A2D" w:rsidRDefault="0047519A" w:rsidP="00BF7423">
            <w:pPr>
              <w:autoSpaceDE w:val="0"/>
              <w:autoSpaceDN w:val="0"/>
              <w:adjustRightInd w:val="0"/>
              <w:spacing w:before="20" w:after="20" w:line="24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6053">
              <w:rPr>
                <w:rFonts w:ascii="Arial Narrow" w:hAnsi="Arial Narrow"/>
                <w:b/>
                <w:sz w:val="20"/>
                <w:szCs w:val="20"/>
              </w:rPr>
              <w:t xml:space="preserve">V dejavnosti </w:t>
            </w:r>
            <w:r w:rsidRPr="00F1679B">
              <w:rPr>
                <w:rFonts w:ascii="Arial Narrow" w:hAnsi="Arial Narrow"/>
                <w:b/>
                <w:sz w:val="20"/>
                <w:szCs w:val="20"/>
              </w:rPr>
              <w:t>743 608</w:t>
            </w:r>
            <w:r w:rsidRPr="00656053">
              <w:rPr>
                <w:rFonts w:ascii="Arial Narrow" w:hAnsi="Arial Narrow"/>
                <w:b/>
                <w:sz w:val="20"/>
                <w:szCs w:val="20"/>
              </w:rPr>
              <w:t xml:space="preserve"> se pri obračunu storitev </w:t>
            </w:r>
            <w:r>
              <w:rPr>
                <w:rFonts w:ascii="Arial Narrow" w:hAnsi="Arial Narrow"/>
                <w:b/>
                <w:sz w:val="20"/>
                <w:szCs w:val="20"/>
              </w:rPr>
              <w:t>75011 in 75012</w:t>
            </w:r>
            <w:r w:rsidRPr="00656053">
              <w:rPr>
                <w:rFonts w:ascii="Arial Narrow" w:hAnsi="Arial Narrow"/>
                <w:b/>
                <w:sz w:val="20"/>
                <w:szCs w:val="20"/>
              </w:rPr>
              <w:t xml:space="preserve"> v ta podatek vedno obvezno navede </w:t>
            </w:r>
            <w:r w:rsidR="0022437A">
              <w:rPr>
                <w:rFonts w:ascii="Arial Narrow" w:hAnsi="Arial Narrow"/>
                <w:b/>
                <w:sz w:val="20"/>
                <w:szCs w:val="20"/>
              </w:rPr>
              <w:t xml:space="preserve">RIZDDZ </w:t>
            </w:r>
            <w:r w:rsidRPr="00656053">
              <w:rPr>
                <w:rFonts w:ascii="Arial Narrow" w:hAnsi="Arial Narrow"/>
                <w:b/>
                <w:sz w:val="20"/>
                <w:szCs w:val="20"/>
              </w:rPr>
              <w:t xml:space="preserve">številka delavca, ki je veljaven tudi v </w:t>
            </w:r>
            <w:r w:rsidR="00F42096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656053">
              <w:rPr>
                <w:rFonts w:ascii="Arial Narrow" w:hAnsi="Arial Narrow"/>
                <w:b/>
                <w:sz w:val="20"/>
                <w:szCs w:val="20"/>
              </w:rPr>
              <w:t xml:space="preserve">eznamu </w:t>
            </w:r>
            <w:r w:rsidR="000C496F" w:rsidRPr="00006733">
              <w:rPr>
                <w:rFonts w:ascii="Arial Narrow" w:hAnsi="Arial Narrow"/>
                <w:b/>
                <w:sz w:val="20"/>
                <w:szCs w:val="20"/>
              </w:rPr>
              <w:t>oseb, ki lahko opravljajo storitev PUZ</w:t>
            </w:r>
            <w:r w:rsidRPr="0000673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14:paraId="75229AB5" w14:textId="77777777" w:rsidR="0047519A" w:rsidRPr="00A81EB8" w:rsidRDefault="0047519A" w:rsidP="004751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B9618ED" w14:textId="77777777" w:rsidR="0047519A" w:rsidRPr="00A81EB8" w:rsidRDefault="0047519A" w:rsidP="0047519A">
      <w:pPr>
        <w:widowControl w:val="0"/>
        <w:suppressAutoHyphens/>
        <w:spacing w:after="200" w:line="276" w:lineRule="auto"/>
        <w:jc w:val="both"/>
        <w:rPr>
          <w:rFonts w:ascii="Calibri" w:eastAsiaTheme="minorEastAsia" w:hAnsi="Calibri"/>
          <w:lang w:eastAsia="sl-SI"/>
        </w:rPr>
      </w:pPr>
      <w:r w:rsidRPr="00A81EB8">
        <w:rPr>
          <w:rFonts w:ascii="Calibri" w:eastAsiaTheme="minorEastAsia" w:hAnsi="Calibri"/>
          <w:lang w:eastAsia="sl-SI"/>
        </w:rPr>
        <w:t xml:space="preserve">Spremembe </w:t>
      </w:r>
      <w:r>
        <w:rPr>
          <w:rFonts w:ascii="Calibri" w:eastAsiaTheme="minorEastAsia" w:hAnsi="Calibri"/>
          <w:lang w:eastAsia="sl-SI"/>
        </w:rPr>
        <w:t>i</w:t>
      </w:r>
      <w:r w:rsidRPr="00A81EB8">
        <w:rPr>
          <w:rFonts w:ascii="Calibri" w:eastAsiaTheme="minorEastAsia" w:hAnsi="Calibri"/>
          <w:lang w:eastAsia="sl-SI"/>
        </w:rPr>
        <w:t xml:space="preserve">z okrožnice </w:t>
      </w:r>
      <w:r>
        <w:rPr>
          <w:rFonts w:ascii="Calibri" w:eastAsiaTheme="minorEastAsia" w:hAnsi="Calibri"/>
          <w:lang w:eastAsia="sl-SI"/>
        </w:rPr>
        <w:t>veljajo za</w:t>
      </w:r>
      <w:r w:rsidRPr="00A81EB8">
        <w:rPr>
          <w:rFonts w:ascii="Calibri" w:eastAsiaTheme="minorEastAsia" w:hAnsi="Calibri"/>
          <w:lang w:eastAsia="sl-SI"/>
        </w:rPr>
        <w:t xml:space="preserve"> storitve</w:t>
      </w:r>
      <w:r>
        <w:rPr>
          <w:rFonts w:ascii="Calibri" w:eastAsiaTheme="minorEastAsia" w:hAnsi="Calibri"/>
          <w:lang w:eastAsia="sl-SI"/>
        </w:rPr>
        <w:t>,</w:t>
      </w:r>
      <w:r w:rsidRPr="00A81EB8">
        <w:rPr>
          <w:rFonts w:ascii="Calibri" w:eastAsiaTheme="minorEastAsia" w:hAnsi="Calibri"/>
          <w:lang w:eastAsia="sl-SI"/>
        </w:rPr>
        <w:t xml:space="preserve"> opravljene od 1. </w:t>
      </w:r>
      <w:r>
        <w:rPr>
          <w:rFonts w:ascii="Calibri" w:eastAsiaTheme="minorEastAsia" w:hAnsi="Calibri"/>
          <w:lang w:eastAsia="sl-SI"/>
        </w:rPr>
        <w:t>7</w:t>
      </w:r>
      <w:r w:rsidRPr="00A81EB8">
        <w:rPr>
          <w:rFonts w:ascii="Calibri" w:eastAsiaTheme="minorEastAsia" w:hAnsi="Calibri"/>
          <w:lang w:eastAsia="sl-SI"/>
        </w:rPr>
        <w:t>. 2023 dalje.</w:t>
      </w:r>
    </w:p>
    <w:p w14:paraId="584709A6" w14:textId="77777777" w:rsidR="0047519A" w:rsidRPr="00A81EB8" w:rsidRDefault="0047519A" w:rsidP="004751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81EB8">
        <w:rPr>
          <w:rFonts w:ascii="Calibri" w:eastAsia="Times New Roman" w:hAnsi="Calibri" w:cs="Calibri"/>
          <w:lang w:eastAsia="sl-SI"/>
        </w:rPr>
        <w:t xml:space="preserve">Kontaktni osebi za vsebinska vprašanja: </w:t>
      </w:r>
    </w:p>
    <w:p w14:paraId="3849FF12" w14:textId="77777777" w:rsidR="0047519A" w:rsidRPr="00A81EB8" w:rsidRDefault="0047519A" w:rsidP="0047519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A81EB8">
        <w:rPr>
          <w:rFonts w:ascii="Calibri" w:eastAsia="Times New Roman" w:hAnsi="Calibri" w:cs="Arial"/>
          <w:lang w:eastAsia="sl-SI"/>
        </w:rPr>
        <w:t>Rozeta Hafner (</w:t>
      </w:r>
      <w:hyperlink r:id="rId14" w:history="1">
        <w:r w:rsidRPr="00A81EB8">
          <w:rPr>
            <w:rFonts w:ascii="Calibri" w:eastAsia="Times New Roman" w:hAnsi="Calibri" w:cs="Arial"/>
            <w:color w:val="0000FF"/>
            <w:u w:val="single"/>
            <w:lang w:eastAsia="sl-SI"/>
          </w:rPr>
          <w:t>rozeta.hafner@zzzs.si</w:t>
        </w:r>
      </w:hyperlink>
      <w:r w:rsidRPr="00A81EB8">
        <w:rPr>
          <w:rFonts w:ascii="Calibri" w:eastAsia="Times New Roman" w:hAnsi="Calibri" w:cs="Arial"/>
          <w:lang w:eastAsia="sl-SI"/>
        </w:rPr>
        <w:t xml:space="preserve"> 01/30-77-588)</w:t>
      </w:r>
    </w:p>
    <w:p w14:paraId="0C3611FF" w14:textId="63938E83" w:rsidR="00F24EAF" w:rsidRDefault="0047519A" w:rsidP="00F24EA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A81EB8">
        <w:rPr>
          <w:rFonts w:ascii="Calibri" w:eastAsia="Times New Roman" w:hAnsi="Calibri" w:cs="Arial"/>
          <w:lang w:eastAsia="sl-SI"/>
        </w:rPr>
        <w:t>Anita Strmljan (</w:t>
      </w:r>
      <w:hyperlink r:id="rId15" w:history="1">
        <w:r w:rsidRPr="00A81EB8">
          <w:rPr>
            <w:rFonts w:ascii="Calibri" w:eastAsia="Times New Roman" w:hAnsi="Calibri" w:cs="Arial"/>
            <w:color w:val="0000FF"/>
            <w:u w:val="single"/>
            <w:lang w:eastAsia="sl-SI"/>
          </w:rPr>
          <w:t>anita.strmljan@zzzs.si</w:t>
        </w:r>
      </w:hyperlink>
      <w:r w:rsidRPr="00A81EB8">
        <w:rPr>
          <w:rFonts w:ascii="Calibri" w:eastAsia="Times New Roman" w:hAnsi="Calibri" w:cs="Arial"/>
          <w:lang w:eastAsia="sl-SI"/>
        </w:rPr>
        <w:t xml:space="preserve"> 01/30-77-522)</w:t>
      </w:r>
    </w:p>
    <w:p w14:paraId="05A101A7" w14:textId="77777777" w:rsidR="00697752" w:rsidRDefault="00697752" w:rsidP="00FF0A0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bookmarkEnd w:id="1"/>
    <w:bookmarkEnd w:id="2"/>
    <w:bookmarkEnd w:id="3"/>
    <w:sectPr w:rsidR="00697752" w:rsidSect="00E03CA1">
      <w:headerReference w:type="default" r:id="rId16"/>
      <w:footerReference w:type="default" r:id="rId17"/>
      <w:headerReference w:type="first" r:id="rId18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9127" w14:textId="77777777" w:rsidR="00673403" w:rsidRDefault="00BE4FAD">
      <w:pPr>
        <w:spacing w:after="0" w:line="240" w:lineRule="auto"/>
      </w:pPr>
      <w:r>
        <w:separator/>
      </w:r>
    </w:p>
  </w:endnote>
  <w:endnote w:type="continuationSeparator" w:id="0">
    <w:p w14:paraId="716CD022" w14:textId="77777777" w:rsidR="00673403" w:rsidRDefault="00BE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5D2A" w14:textId="77777777" w:rsidR="00B27A47" w:rsidRDefault="0016669B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0A1C" w14:textId="77777777" w:rsidR="003200AC" w:rsidRPr="00F84D15" w:rsidRDefault="00821574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714B7C2E" w14:textId="77777777" w:rsidR="003200AC" w:rsidRPr="00A70A5D" w:rsidRDefault="0016669B">
    <w:pPr>
      <w:pStyle w:val="Noga"/>
      <w:jc w:val="center"/>
      <w:rPr>
        <w:sz w:val="18"/>
      </w:rPr>
    </w:pPr>
  </w:p>
  <w:p w14:paraId="77E7F0C3" w14:textId="77777777" w:rsidR="003200AC" w:rsidRDefault="0016669B"/>
  <w:p w14:paraId="180C5304" w14:textId="77777777" w:rsidR="003200AC" w:rsidRDefault="001666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24F5" w14:textId="77777777" w:rsidR="00673403" w:rsidRDefault="00BE4FAD">
      <w:pPr>
        <w:spacing w:after="0" w:line="240" w:lineRule="auto"/>
      </w:pPr>
      <w:r>
        <w:separator/>
      </w:r>
    </w:p>
  </w:footnote>
  <w:footnote w:type="continuationSeparator" w:id="0">
    <w:p w14:paraId="09D26E5D" w14:textId="77777777" w:rsidR="00673403" w:rsidRDefault="00BE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B27A47" w:rsidRPr="007B6600" w14:paraId="2CF571F1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5F09663D" w14:textId="77777777" w:rsidR="00B27A47" w:rsidRPr="007B6600" w:rsidRDefault="00821574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67FE8BF5" wp14:editId="2B4C1983">
                <wp:extent cx="905773" cy="220047"/>
                <wp:effectExtent l="0" t="0" r="0" b="889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A40FD3" w14:textId="77777777" w:rsidR="00B27A47" w:rsidRPr="007B6600" w:rsidRDefault="00821574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5EFFC713" w14:textId="77777777" w:rsidR="00B27A47" w:rsidRPr="007B6600" w:rsidRDefault="00821574" w:rsidP="00093001">
          <w:pPr>
            <w:pStyle w:val="Glava"/>
            <w:jc w:val="center"/>
          </w:pPr>
          <w:r w:rsidRPr="0091542D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217B7276" wp14:editId="17E2D15E">
                <wp:extent cx="896513" cy="552090"/>
                <wp:effectExtent l="0" t="0" r="0" b="63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585114D" w14:textId="77777777" w:rsidR="00B27A47" w:rsidRPr="007B6600" w:rsidRDefault="0016669B" w:rsidP="00093001">
          <w:pPr>
            <w:pStyle w:val="Glava"/>
            <w:jc w:val="right"/>
          </w:pPr>
        </w:p>
      </w:tc>
    </w:tr>
    <w:tr w:rsidR="00B27A47" w:rsidRPr="007B6600" w14:paraId="79389C7B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5F210284" w14:textId="77777777" w:rsidR="00B27A47" w:rsidRPr="00CE24E4" w:rsidRDefault="0016669B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106A653D" w14:textId="77777777" w:rsidR="00B27A47" w:rsidRPr="007B6600" w:rsidRDefault="0016669B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CBA7C1F" w14:textId="77777777" w:rsidR="00B27A47" w:rsidRPr="007B6600" w:rsidRDefault="0016669B" w:rsidP="00093001">
          <w:pPr>
            <w:pStyle w:val="Glava"/>
          </w:pPr>
        </w:p>
      </w:tc>
    </w:tr>
    <w:tr w:rsidR="00B27A47" w:rsidRPr="00BA612C" w14:paraId="799D9FEA" w14:textId="77777777" w:rsidTr="00093001">
      <w:tc>
        <w:tcPr>
          <w:tcW w:w="5679" w:type="dxa"/>
          <w:gridSpan w:val="2"/>
          <w:shd w:val="clear" w:color="auto" w:fill="auto"/>
        </w:tcPr>
        <w:p w14:paraId="0BD8181E" w14:textId="77777777" w:rsidR="00B27A47" w:rsidRDefault="00821574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7C21ED11" w14:textId="77777777" w:rsidR="00B27A47" w:rsidRPr="00BA612C" w:rsidRDefault="00821574" w:rsidP="00093001">
          <w:pPr>
            <w:pStyle w:val="Ulica"/>
            <w:ind w:left="-108"/>
          </w:pPr>
          <w:r>
            <w:t>Miklošičeva cesta 24</w:t>
          </w:r>
        </w:p>
        <w:p w14:paraId="3C90B1E4" w14:textId="77777777" w:rsidR="00B27A47" w:rsidRPr="00BA612C" w:rsidRDefault="00821574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6055677" w14:textId="77777777" w:rsidR="00B27A47" w:rsidRDefault="00821574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65D2D684" w14:textId="77777777" w:rsidR="00B27A47" w:rsidRPr="00BA612C" w:rsidRDefault="00821574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647C6423" w14:textId="77777777" w:rsidR="00B27A47" w:rsidRPr="00BA612C" w:rsidRDefault="00821574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131A78EC" w14:textId="77777777" w:rsidR="00B27A47" w:rsidRPr="00BA612C" w:rsidRDefault="00821574" w:rsidP="00093001">
          <w:pPr>
            <w:pStyle w:val="Glava"/>
            <w:spacing w:line="240" w:lineRule="exact"/>
          </w:pPr>
          <w:r w:rsidRPr="00BA612C">
            <w:t>www.zzzs.si</w:t>
          </w:r>
        </w:p>
      </w:tc>
    </w:tr>
  </w:tbl>
  <w:p w14:paraId="2F0CDE54" w14:textId="77777777" w:rsidR="00B27A47" w:rsidRPr="00BA612C" w:rsidRDefault="0016669B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A041" w14:textId="77777777" w:rsidR="003200AC" w:rsidRDefault="0016669B">
    <w:pPr>
      <w:pStyle w:val="Glava"/>
    </w:pPr>
  </w:p>
  <w:p w14:paraId="5184AFCF" w14:textId="77777777" w:rsidR="003200AC" w:rsidRDefault="001666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987" w14:textId="77777777" w:rsidR="003200AC" w:rsidRPr="00CF3B25" w:rsidRDefault="0016669B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81B"/>
    <w:multiLevelType w:val="hybridMultilevel"/>
    <w:tmpl w:val="16621C0A"/>
    <w:lvl w:ilvl="0" w:tplc="60D408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6184"/>
    <w:multiLevelType w:val="hybridMultilevel"/>
    <w:tmpl w:val="34DC4A3E"/>
    <w:lvl w:ilvl="0" w:tplc="E392F1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7F72"/>
    <w:multiLevelType w:val="hybridMultilevel"/>
    <w:tmpl w:val="DA06AF78"/>
    <w:lvl w:ilvl="0" w:tplc="6DBA0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5A1"/>
    <w:multiLevelType w:val="hybridMultilevel"/>
    <w:tmpl w:val="F9282448"/>
    <w:lvl w:ilvl="0" w:tplc="2BBC2AB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7323"/>
    <w:multiLevelType w:val="hybridMultilevel"/>
    <w:tmpl w:val="20B4F48A"/>
    <w:lvl w:ilvl="0" w:tplc="0A62D4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3828"/>
    <w:multiLevelType w:val="hybridMultilevel"/>
    <w:tmpl w:val="30E8BA4C"/>
    <w:lvl w:ilvl="0" w:tplc="8F3A1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167"/>
    <w:multiLevelType w:val="hybridMultilevel"/>
    <w:tmpl w:val="1944C702"/>
    <w:lvl w:ilvl="0" w:tplc="60D408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D0A"/>
    <w:multiLevelType w:val="hybridMultilevel"/>
    <w:tmpl w:val="F3406708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3A2F"/>
    <w:multiLevelType w:val="hybridMultilevel"/>
    <w:tmpl w:val="D4E4CF2E"/>
    <w:lvl w:ilvl="0" w:tplc="48D0E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6FB9"/>
    <w:multiLevelType w:val="hybridMultilevel"/>
    <w:tmpl w:val="D61A40AE"/>
    <w:lvl w:ilvl="0" w:tplc="8752D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D60"/>
    <w:multiLevelType w:val="hybridMultilevel"/>
    <w:tmpl w:val="42CAC5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C24"/>
    <w:multiLevelType w:val="hybridMultilevel"/>
    <w:tmpl w:val="029686F8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D3138"/>
    <w:multiLevelType w:val="hybridMultilevel"/>
    <w:tmpl w:val="1FEC1982"/>
    <w:lvl w:ilvl="0" w:tplc="6ED8D2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F43B2"/>
    <w:multiLevelType w:val="hybridMultilevel"/>
    <w:tmpl w:val="42D65ED4"/>
    <w:lvl w:ilvl="0" w:tplc="E0EA0B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D02AB"/>
    <w:multiLevelType w:val="hybridMultilevel"/>
    <w:tmpl w:val="EE78FAF8"/>
    <w:lvl w:ilvl="0" w:tplc="631CAE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E57"/>
    <w:multiLevelType w:val="hybridMultilevel"/>
    <w:tmpl w:val="631A51E2"/>
    <w:lvl w:ilvl="0" w:tplc="55C287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830A98A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02ECF"/>
    <w:multiLevelType w:val="hybridMultilevel"/>
    <w:tmpl w:val="A05ED442"/>
    <w:lvl w:ilvl="0" w:tplc="8E70DF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420B2"/>
    <w:multiLevelType w:val="hybridMultilevel"/>
    <w:tmpl w:val="16063E6C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911832"/>
    <w:multiLevelType w:val="hybridMultilevel"/>
    <w:tmpl w:val="C9181A52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4579"/>
    <w:multiLevelType w:val="hybridMultilevel"/>
    <w:tmpl w:val="F13C2AA6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C41DB"/>
    <w:multiLevelType w:val="hybridMultilevel"/>
    <w:tmpl w:val="9EEEAA3A"/>
    <w:lvl w:ilvl="0" w:tplc="8752D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56131"/>
    <w:multiLevelType w:val="hybridMultilevel"/>
    <w:tmpl w:val="028E6F3C"/>
    <w:lvl w:ilvl="0" w:tplc="300A7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61E3"/>
    <w:multiLevelType w:val="hybridMultilevel"/>
    <w:tmpl w:val="07386944"/>
    <w:lvl w:ilvl="0" w:tplc="075A8A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D28FD"/>
    <w:multiLevelType w:val="hybridMultilevel"/>
    <w:tmpl w:val="7DA8FF64"/>
    <w:lvl w:ilvl="0" w:tplc="1186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6339"/>
    <w:multiLevelType w:val="hybridMultilevel"/>
    <w:tmpl w:val="88767AE2"/>
    <w:lvl w:ilvl="0" w:tplc="FD729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8427">
    <w:abstractNumId w:val="27"/>
  </w:num>
  <w:num w:numId="2" w16cid:durableId="59914259">
    <w:abstractNumId w:val="21"/>
  </w:num>
  <w:num w:numId="3" w16cid:durableId="1817798935">
    <w:abstractNumId w:val="0"/>
  </w:num>
  <w:num w:numId="4" w16cid:durableId="1809275653">
    <w:abstractNumId w:val="24"/>
  </w:num>
  <w:num w:numId="5" w16cid:durableId="571550306">
    <w:abstractNumId w:val="20"/>
  </w:num>
  <w:num w:numId="6" w16cid:durableId="448166461">
    <w:abstractNumId w:val="23"/>
  </w:num>
  <w:num w:numId="7" w16cid:durableId="1091777688">
    <w:abstractNumId w:val="8"/>
  </w:num>
  <w:num w:numId="8" w16cid:durableId="2072731925">
    <w:abstractNumId w:val="13"/>
  </w:num>
  <w:num w:numId="9" w16cid:durableId="1003705934">
    <w:abstractNumId w:val="9"/>
  </w:num>
  <w:num w:numId="10" w16cid:durableId="1091662532">
    <w:abstractNumId w:val="2"/>
  </w:num>
  <w:num w:numId="11" w16cid:durableId="159079886">
    <w:abstractNumId w:val="1"/>
  </w:num>
  <w:num w:numId="12" w16cid:durableId="1643802915">
    <w:abstractNumId w:val="16"/>
  </w:num>
  <w:num w:numId="13" w16cid:durableId="1186212098">
    <w:abstractNumId w:val="6"/>
  </w:num>
  <w:num w:numId="14" w16cid:durableId="248007960">
    <w:abstractNumId w:val="22"/>
  </w:num>
  <w:num w:numId="15" w16cid:durableId="2067022820">
    <w:abstractNumId w:val="17"/>
  </w:num>
  <w:num w:numId="16" w16cid:durableId="1528984741">
    <w:abstractNumId w:val="15"/>
  </w:num>
  <w:num w:numId="17" w16cid:durableId="1797673883">
    <w:abstractNumId w:val="12"/>
  </w:num>
  <w:num w:numId="18" w16cid:durableId="420683698">
    <w:abstractNumId w:val="10"/>
  </w:num>
  <w:num w:numId="19" w16cid:durableId="371612983">
    <w:abstractNumId w:val="5"/>
  </w:num>
  <w:num w:numId="20" w16cid:durableId="1245652862">
    <w:abstractNumId w:val="26"/>
  </w:num>
  <w:num w:numId="21" w16cid:durableId="388503001">
    <w:abstractNumId w:val="14"/>
  </w:num>
  <w:num w:numId="22" w16cid:durableId="715206592">
    <w:abstractNumId w:val="18"/>
  </w:num>
  <w:num w:numId="23" w16cid:durableId="1640500122">
    <w:abstractNumId w:val="19"/>
  </w:num>
  <w:num w:numId="24" w16cid:durableId="225531476">
    <w:abstractNumId w:val="7"/>
  </w:num>
  <w:num w:numId="25" w16cid:durableId="240453544">
    <w:abstractNumId w:val="25"/>
  </w:num>
  <w:num w:numId="26" w16cid:durableId="1423261327">
    <w:abstractNumId w:val="11"/>
  </w:num>
  <w:num w:numId="27" w16cid:durableId="2094542156">
    <w:abstractNumId w:val="4"/>
  </w:num>
  <w:num w:numId="28" w16cid:durableId="976228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74"/>
    <w:rsid w:val="00006217"/>
    <w:rsid w:val="00006733"/>
    <w:rsid w:val="00007D1E"/>
    <w:rsid w:val="00015062"/>
    <w:rsid w:val="00016060"/>
    <w:rsid w:val="00032BFF"/>
    <w:rsid w:val="00034EDD"/>
    <w:rsid w:val="0005534C"/>
    <w:rsid w:val="00063671"/>
    <w:rsid w:val="00074E44"/>
    <w:rsid w:val="00097F37"/>
    <w:rsid w:val="000A3589"/>
    <w:rsid w:val="000C496F"/>
    <w:rsid w:val="0010203F"/>
    <w:rsid w:val="00110196"/>
    <w:rsid w:val="001129B8"/>
    <w:rsid w:val="001609C6"/>
    <w:rsid w:val="00161993"/>
    <w:rsid w:val="0016669B"/>
    <w:rsid w:val="00173F67"/>
    <w:rsid w:val="00180691"/>
    <w:rsid w:val="001A1022"/>
    <w:rsid w:val="001C5454"/>
    <w:rsid w:val="001D2F04"/>
    <w:rsid w:val="001E4FE0"/>
    <w:rsid w:val="001E6B58"/>
    <w:rsid w:val="002060E3"/>
    <w:rsid w:val="002124DE"/>
    <w:rsid w:val="00213C52"/>
    <w:rsid w:val="0022437A"/>
    <w:rsid w:val="00234BA9"/>
    <w:rsid w:val="002621AB"/>
    <w:rsid w:val="00282F56"/>
    <w:rsid w:val="002B62AB"/>
    <w:rsid w:val="002B704D"/>
    <w:rsid w:val="002C367B"/>
    <w:rsid w:val="002F1543"/>
    <w:rsid w:val="003070EE"/>
    <w:rsid w:val="00307776"/>
    <w:rsid w:val="0032337C"/>
    <w:rsid w:val="003233A8"/>
    <w:rsid w:val="003321B4"/>
    <w:rsid w:val="0033528B"/>
    <w:rsid w:val="00335776"/>
    <w:rsid w:val="00345957"/>
    <w:rsid w:val="00353516"/>
    <w:rsid w:val="00356155"/>
    <w:rsid w:val="00363729"/>
    <w:rsid w:val="0036687B"/>
    <w:rsid w:val="00373DE3"/>
    <w:rsid w:val="0039338F"/>
    <w:rsid w:val="003A4359"/>
    <w:rsid w:val="003C0167"/>
    <w:rsid w:val="003C10F9"/>
    <w:rsid w:val="003C48E0"/>
    <w:rsid w:val="003D31A2"/>
    <w:rsid w:val="003E07E1"/>
    <w:rsid w:val="003E4ECA"/>
    <w:rsid w:val="003F7D76"/>
    <w:rsid w:val="004152B2"/>
    <w:rsid w:val="00417115"/>
    <w:rsid w:val="00432B59"/>
    <w:rsid w:val="00443B56"/>
    <w:rsid w:val="00445C38"/>
    <w:rsid w:val="0044628E"/>
    <w:rsid w:val="0045545B"/>
    <w:rsid w:val="004679D3"/>
    <w:rsid w:val="0047519A"/>
    <w:rsid w:val="00480301"/>
    <w:rsid w:val="00485982"/>
    <w:rsid w:val="00486992"/>
    <w:rsid w:val="004921CC"/>
    <w:rsid w:val="004D179C"/>
    <w:rsid w:val="00500034"/>
    <w:rsid w:val="00502DD2"/>
    <w:rsid w:val="00504A59"/>
    <w:rsid w:val="005177F4"/>
    <w:rsid w:val="00536F35"/>
    <w:rsid w:val="0053708B"/>
    <w:rsid w:val="0053785E"/>
    <w:rsid w:val="00544F4A"/>
    <w:rsid w:val="00555F5E"/>
    <w:rsid w:val="005572EF"/>
    <w:rsid w:val="00566316"/>
    <w:rsid w:val="00570A79"/>
    <w:rsid w:val="005A39D9"/>
    <w:rsid w:val="005A5896"/>
    <w:rsid w:val="005A7785"/>
    <w:rsid w:val="005C2964"/>
    <w:rsid w:val="005C5FBA"/>
    <w:rsid w:val="005D0ACD"/>
    <w:rsid w:val="005D125C"/>
    <w:rsid w:val="005D16A0"/>
    <w:rsid w:val="005F174F"/>
    <w:rsid w:val="005F1CFD"/>
    <w:rsid w:val="0060315E"/>
    <w:rsid w:val="00622BD6"/>
    <w:rsid w:val="00623069"/>
    <w:rsid w:val="00630740"/>
    <w:rsid w:val="0063161E"/>
    <w:rsid w:val="006355BB"/>
    <w:rsid w:val="00651B82"/>
    <w:rsid w:val="00653B5E"/>
    <w:rsid w:val="00656983"/>
    <w:rsid w:val="00673403"/>
    <w:rsid w:val="00691C30"/>
    <w:rsid w:val="00697752"/>
    <w:rsid w:val="006A3FE0"/>
    <w:rsid w:val="006C5BF0"/>
    <w:rsid w:val="006D1102"/>
    <w:rsid w:val="006D60CD"/>
    <w:rsid w:val="006E40A8"/>
    <w:rsid w:val="006F507B"/>
    <w:rsid w:val="00717A2D"/>
    <w:rsid w:val="00731C96"/>
    <w:rsid w:val="007337AE"/>
    <w:rsid w:val="00741804"/>
    <w:rsid w:val="00741E3D"/>
    <w:rsid w:val="00741E42"/>
    <w:rsid w:val="007839DA"/>
    <w:rsid w:val="00791DCC"/>
    <w:rsid w:val="007A08BA"/>
    <w:rsid w:val="007A5C37"/>
    <w:rsid w:val="007B58AE"/>
    <w:rsid w:val="007B7A90"/>
    <w:rsid w:val="007C117B"/>
    <w:rsid w:val="007C314E"/>
    <w:rsid w:val="007D7A27"/>
    <w:rsid w:val="007E24CB"/>
    <w:rsid w:val="007E5AFA"/>
    <w:rsid w:val="007E6E4B"/>
    <w:rsid w:val="007E74C2"/>
    <w:rsid w:val="007F3948"/>
    <w:rsid w:val="007F7D3E"/>
    <w:rsid w:val="0080782F"/>
    <w:rsid w:val="00810D3F"/>
    <w:rsid w:val="008173A5"/>
    <w:rsid w:val="00821574"/>
    <w:rsid w:val="00835A16"/>
    <w:rsid w:val="00837E63"/>
    <w:rsid w:val="00867DDE"/>
    <w:rsid w:val="008853A4"/>
    <w:rsid w:val="008A241C"/>
    <w:rsid w:val="008B0F3E"/>
    <w:rsid w:val="008D56A4"/>
    <w:rsid w:val="008E30D7"/>
    <w:rsid w:val="0095769E"/>
    <w:rsid w:val="00975D3A"/>
    <w:rsid w:val="00985A9B"/>
    <w:rsid w:val="009A4D1D"/>
    <w:rsid w:val="00A04CD0"/>
    <w:rsid w:val="00A1248C"/>
    <w:rsid w:val="00A232D7"/>
    <w:rsid w:val="00A26225"/>
    <w:rsid w:val="00A36BD8"/>
    <w:rsid w:val="00A63384"/>
    <w:rsid w:val="00A63A60"/>
    <w:rsid w:val="00A65AE2"/>
    <w:rsid w:val="00A85614"/>
    <w:rsid w:val="00A9494C"/>
    <w:rsid w:val="00AB4920"/>
    <w:rsid w:val="00AC6BCD"/>
    <w:rsid w:val="00AE12CD"/>
    <w:rsid w:val="00AE61B4"/>
    <w:rsid w:val="00AE6ED6"/>
    <w:rsid w:val="00B37D4E"/>
    <w:rsid w:val="00B42219"/>
    <w:rsid w:val="00B4295C"/>
    <w:rsid w:val="00B60C31"/>
    <w:rsid w:val="00B61D8A"/>
    <w:rsid w:val="00B62DAC"/>
    <w:rsid w:val="00B66023"/>
    <w:rsid w:val="00B7771B"/>
    <w:rsid w:val="00BB6FE3"/>
    <w:rsid w:val="00BC37F3"/>
    <w:rsid w:val="00BE4FAD"/>
    <w:rsid w:val="00BF2710"/>
    <w:rsid w:val="00C13D13"/>
    <w:rsid w:val="00C22301"/>
    <w:rsid w:val="00C24C5E"/>
    <w:rsid w:val="00C30507"/>
    <w:rsid w:val="00C320EA"/>
    <w:rsid w:val="00C724DD"/>
    <w:rsid w:val="00C95321"/>
    <w:rsid w:val="00CA7772"/>
    <w:rsid w:val="00CA7A56"/>
    <w:rsid w:val="00CB0516"/>
    <w:rsid w:val="00CB4BCD"/>
    <w:rsid w:val="00CC09B0"/>
    <w:rsid w:val="00CD6C3D"/>
    <w:rsid w:val="00CE5F07"/>
    <w:rsid w:val="00CF6ADB"/>
    <w:rsid w:val="00D03599"/>
    <w:rsid w:val="00D14C81"/>
    <w:rsid w:val="00D1574A"/>
    <w:rsid w:val="00D221AA"/>
    <w:rsid w:val="00D25D83"/>
    <w:rsid w:val="00D31CC7"/>
    <w:rsid w:val="00D43946"/>
    <w:rsid w:val="00D43CD2"/>
    <w:rsid w:val="00D454E4"/>
    <w:rsid w:val="00D45B87"/>
    <w:rsid w:val="00D712F6"/>
    <w:rsid w:val="00D956DA"/>
    <w:rsid w:val="00DA28D8"/>
    <w:rsid w:val="00DA2DF8"/>
    <w:rsid w:val="00DA3CD8"/>
    <w:rsid w:val="00DB2525"/>
    <w:rsid w:val="00DC183C"/>
    <w:rsid w:val="00DD40B2"/>
    <w:rsid w:val="00DE06E3"/>
    <w:rsid w:val="00DF5C0D"/>
    <w:rsid w:val="00E24178"/>
    <w:rsid w:val="00E319BA"/>
    <w:rsid w:val="00E343D1"/>
    <w:rsid w:val="00E51B7F"/>
    <w:rsid w:val="00E60B70"/>
    <w:rsid w:val="00E91F55"/>
    <w:rsid w:val="00EE0469"/>
    <w:rsid w:val="00EE2429"/>
    <w:rsid w:val="00EF6498"/>
    <w:rsid w:val="00F22DAC"/>
    <w:rsid w:val="00F24EAF"/>
    <w:rsid w:val="00F26906"/>
    <w:rsid w:val="00F359B2"/>
    <w:rsid w:val="00F36282"/>
    <w:rsid w:val="00F40784"/>
    <w:rsid w:val="00F42096"/>
    <w:rsid w:val="00F635A1"/>
    <w:rsid w:val="00F74E42"/>
    <w:rsid w:val="00FA2B08"/>
    <w:rsid w:val="00FC5470"/>
    <w:rsid w:val="00FD6CC8"/>
    <w:rsid w:val="00FF0A09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B4F9"/>
  <w15:chartTrackingRefBased/>
  <w15:docId w15:val="{D8A27E1F-C455-4A82-9272-828CB85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9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574"/>
  </w:style>
  <w:style w:type="paragraph" w:styleId="Noga">
    <w:name w:val="footer"/>
    <w:basedOn w:val="Navaden"/>
    <w:link w:val="NogaZnak"/>
    <w:uiPriority w:val="99"/>
    <w:unhideWhenUsed/>
    <w:rsid w:val="0082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574"/>
  </w:style>
  <w:style w:type="paragraph" w:customStyle="1" w:styleId="Ulica">
    <w:name w:val="Ulica"/>
    <w:basedOn w:val="Glava"/>
    <w:qFormat/>
    <w:rsid w:val="00821574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821574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821574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table" w:styleId="Tabelamrea">
    <w:name w:val="Table Grid"/>
    <w:basedOn w:val="Navadnatabela"/>
    <w:uiPriority w:val="39"/>
    <w:rsid w:val="0082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821574"/>
    <w:pPr>
      <w:ind w:left="720"/>
      <w:contextualSpacing/>
    </w:pPr>
  </w:style>
  <w:style w:type="character" w:customStyle="1" w:styleId="tabelaZnak">
    <w:name w:val="tabela Znak"/>
    <w:link w:val="tabela"/>
    <w:rsid w:val="00BE4FAD"/>
    <w:rPr>
      <w:rFonts w:ascii="Arial Narrow" w:hAnsi="Arial Narrow" w:cs="Arial"/>
      <w:lang w:eastAsia="sl-SI"/>
    </w:rPr>
  </w:style>
  <w:style w:type="paragraph" w:customStyle="1" w:styleId="tabela">
    <w:name w:val="tabela"/>
    <w:basedOn w:val="Navaden"/>
    <w:link w:val="tabelaZnak"/>
    <w:rsid w:val="00BE4FAD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51B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1B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1B7F"/>
    <w:rPr>
      <w:sz w:val="20"/>
      <w:szCs w:val="20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1129B8"/>
  </w:style>
  <w:style w:type="paragraph" w:styleId="Revizija">
    <w:name w:val="Revision"/>
    <w:hidden/>
    <w:uiPriority w:val="99"/>
    <w:semiHidden/>
    <w:rsid w:val="00445C38"/>
    <w:pPr>
      <w:spacing w:after="0" w:line="240" w:lineRule="auto"/>
    </w:pPr>
  </w:style>
  <w:style w:type="paragraph" w:styleId="Brezrazmikov">
    <w:name w:val="No Spacing"/>
    <w:uiPriority w:val="1"/>
    <w:qFormat/>
    <w:rsid w:val="00623069"/>
    <w:pPr>
      <w:spacing w:after="0" w:line="240" w:lineRule="auto"/>
    </w:pPr>
    <w:rPr>
      <w:rFonts w:ascii="Calibri" w:eastAsia="Calibri" w:hAnsi="Calibri" w:cs="Times New Roman"/>
    </w:rPr>
  </w:style>
  <w:style w:type="character" w:styleId="Nerazreenaomemba">
    <w:name w:val="Unresolved Mention"/>
    <w:basedOn w:val="Privzetapisavaodstavka"/>
    <w:uiPriority w:val="99"/>
    <w:semiHidden/>
    <w:unhideWhenUsed/>
    <w:rsid w:val="0041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rmen.grom-kenk@zzz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men.grom-kenk@zzz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cernic-klobasa@zzz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ta.strmljan@zzzs.si" TargetMode="External"/><Relationship Id="rId10" Type="http://schemas.openxmlformats.org/officeDocument/2006/relationships/hyperlink" Target="mailto:karmen.grom-kenk@zzzs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ozeta.hafner@zz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C4E366-FE59-42C8-91E8-E50780F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12</cp:revision>
  <cp:lastPrinted>2023-05-19T12:21:00Z</cp:lastPrinted>
  <dcterms:created xsi:type="dcterms:W3CDTF">2023-05-22T08:36:00Z</dcterms:created>
  <dcterms:modified xsi:type="dcterms:W3CDTF">2023-05-22T10:31:00Z</dcterms:modified>
</cp:coreProperties>
</file>