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A96A" w14:textId="77777777" w:rsidR="0090259A" w:rsidRDefault="0090259A" w:rsidP="0090259A">
      <w:pPr>
        <w:pStyle w:val="Pravnapodlaga"/>
      </w:pPr>
      <w:r>
        <w:t xml:space="preserve">Na podlagi četrtega odstavka 63. Zakona o zdravstvenem varstvu in zdravstvenem zavarovanju (Uradni list RS, št. 72/06 – uradno prečiščeno besedilo, 114/06 – ZUTPG, 91/07, 76/08, 62/10 – ZUPJS, 87/11, 40/12 – ZUJF, 21/13 – ZUTD-A, 91/13, 99/13 – ZUPJS-C, 99/13 – </w:t>
      </w:r>
      <w:proofErr w:type="spellStart"/>
      <w:r>
        <w:t>ZSVarPre</w:t>
      </w:r>
      <w:proofErr w:type="spellEnd"/>
      <w:r>
        <w:t xml:space="preserve">-C, 111/13 – ZMEPIZ-1, 95/14 – ZUJF-C, 47/15 – ZZSDT, 61/17 – ZUPŠ, 64/17 – ZZDej-K, 36/19, 189/20 – ZFRO, 51/21, 159/21, 196/21 – </w:t>
      </w:r>
      <w:proofErr w:type="spellStart"/>
      <w:r>
        <w:t>ZDOsk</w:t>
      </w:r>
      <w:proofErr w:type="spellEnd"/>
      <w:r>
        <w:t>, 15/22, 43/22 in 100/22 – ZNUZSZS) in v zvezi s Sklepom Vlade Republike Slovenije št. 17000-4/2022/2 z dne 24. 8. 2022 Vlada Republike Slovenije izdaja</w:t>
      </w:r>
    </w:p>
    <w:p w14:paraId="36F9F9A3" w14:textId="77777777" w:rsidR="0090259A" w:rsidRDefault="0090259A" w:rsidP="0090259A">
      <w:pPr>
        <w:pStyle w:val="Vrstapredpisa"/>
      </w:pPr>
      <w:r>
        <w:t>UREDBO</w:t>
      </w:r>
    </w:p>
    <w:p w14:paraId="2EEAA98C" w14:textId="77777777" w:rsidR="0090259A" w:rsidRDefault="0090259A" w:rsidP="0090259A">
      <w:pPr>
        <w:pStyle w:val="Naslovpredpisa"/>
      </w:pPr>
      <w:r>
        <w:t>o določitvi programov storitev obveznega zdravstvenega zavarovanja, opredelitev zmogljivosti, potrebnih za njegovo izvajanje, in določitev obsega sredstev za leto 2022</w:t>
      </w:r>
    </w:p>
    <w:p w14:paraId="7B7736B3" w14:textId="77777777" w:rsidR="0090259A" w:rsidRDefault="0090259A" w:rsidP="0090259A">
      <w:pPr>
        <w:pStyle w:val="Poglavje"/>
      </w:pPr>
      <w:r>
        <w:t>I. SPLOŠNE DOLOČBE</w:t>
      </w:r>
    </w:p>
    <w:p w14:paraId="277A5EE0" w14:textId="77777777" w:rsidR="0090259A" w:rsidRDefault="0090259A" w:rsidP="0090259A">
      <w:pPr>
        <w:pStyle w:val="len"/>
      </w:pPr>
      <w:r>
        <w:t>1. člen</w:t>
      </w:r>
    </w:p>
    <w:p w14:paraId="1C9675F1" w14:textId="77777777" w:rsidR="0090259A" w:rsidRDefault="0090259A" w:rsidP="0090259A">
      <w:pPr>
        <w:pStyle w:val="Odstavek"/>
      </w:pPr>
      <w:r>
        <w:t>(1) Ta uredba določa dodatno vsebino dogovora o programih storitev obveznega zdravstvenega zavarovanja, opredeljuje zmogljivosti, potrebne za njegovo izvajanje, in obseg sredstev za leto 2022. Uredba se izdaja zaradi resnih motenj, ki ogrožajo nemoteno izvajanje programov storitev obveznega zdravstvenega zavarovanja (v nadaljnjem besedilu: programi) v koledarskem letu 2022.</w:t>
      </w:r>
    </w:p>
    <w:p w14:paraId="53376BBA" w14:textId="77777777" w:rsidR="0090259A" w:rsidRDefault="0090259A" w:rsidP="0090259A">
      <w:pPr>
        <w:pStyle w:val="Odstavek"/>
      </w:pPr>
      <w:r>
        <w:t>(2) Če s to uredbo ni določeno drugače, za izvajalce veljajo določbe Splošnega dogovora za pogodbeno leto 2022 in Aneksa št. 1 k Splošnemu dogovoru za pogodbeno leto 2022.</w:t>
      </w:r>
    </w:p>
    <w:p w14:paraId="102C9BDC" w14:textId="77777777" w:rsidR="0090259A" w:rsidRDefault="0090259A" w:rsidP="0090259A">
      <w:pPr>
        <w:pStyle w:val="Poglavje"/>
      </w:pPr>
      <w:r>
        <w:t>II. VREDNOTENJE PROGRAMOV IN ELEMENTI ZA OBLIKOVANJE CEN ZDRAVSTVENIH STORITEV</w:t>
      </w:r>
    </w:p>
    <w:p w14:paraId="1A63FFDF" w14:textId="77777777" w:rsidR="0090259A" w:rsidRDefault="0090259A" w:rsidP="0090259A">
      <w:pPr>
        <w:pStyle w:val="len"/>
      </w:pPr>
      <w:r>
        <w:t>2. člen</w:t>
      </w:r>
    </w:p>
    <w:p w14:paraId="095BC34A" w14:textId="77777777" w:rsidR="0090259A" w:rsidRDefault="0090259A" w:rsidP="0090259A">
      <w:pPr>
        <w:pStyle w:val="Odstavek"/>
      </w:pPr>
      <w:r>
        <w:t>(1) Če Vlada Republike Slovenije in reprezentativni sindikati javnega sektorja sprejmejo aneks h kolektivni pogodbi v javnem sektorju, ki posega na področje plač v javnem sektorju, ali v primeru sprememb zakona, ki ureja sistem plač v javnem sektorju, oziroma drugega predpisa, ki ureja navedeno področje, se te spremembe avtomatično upoštevajo v kalkulacijah cen zdravstvenih storitev.</w:t>
      </w:r>
    </w:p>
    <w:p w14:paraId="205FA6FB" w14:textId="77777777" w:rsidR="0090259A" w:rsidRDefault="0090259A" w:rsidP="0090259A">
      <w:pPr>
        <w:pStyle w:val="Odstavek"/>
      </w:pPr>
      <w:r>
        <w:t>(2) Veljavnost kalkulacij cen zdravstvenih storitev je vezana na veljavnost oziroma začetek uporabe sprememb iz prejšnjega odstavka.</w:t>
      </w:r>
    </w:p>
    <w:p w14:paraId="1095AE66" w14:textId="77777777" w:rsidR="0090259A" w:rsidRDefault="0090259A" w:rsidP="0090259A">
      <w:pPr>
        <w:pStyle w:val="len"/>
      </w:pPr>
      <w:r>
        <w:t>3. člen</w:t>
      </w:r>
    </w:p>
    <w:p w14:paraId="59502FE8" w14:textId="77777777" w:rsidR="0090259A" w:rsidRDefault="0090259A" w:rsidP="0090259A">
      <w:pPr>
        <w:pStyle w:val="Odstavek"/>
      </w:pPr>
      <w:r>
        <w:t>Poleg materialnih stroškov, ki so vključeni v ceno zdravstvenih storitev, so sestavni del vrednosti programov tudi materiali in storitve, ki jih bodo socialno varstveni zavodi zaračunavali Zavodu za zdravstveno zavarovanje (v nadaljnjem besedilu: Zavod) posebej, upoštevajoč vrsto zdravstvene dejavnosti, ki jo opravljajo, in sicer odvzem brisa na prisotnost virusa SARS-CoV-2 in hitri antigenski test (v nadaljnjem besedilu: test HAG).</w:t>
      </w:r>
    </w:p>
    <w:p w14:paraId="744AC19A" w14:textId="77777777" w:rsidR="0090259A" w:rsidRDefault="0090259A" w:rsidP="0090259A">
      <w:pPr>
        <w:pStyle w:val="len"/>
      </w:pPr>
      <w:r>
        <w:lastRenderedPageBreak/>
        <w:t>4. člen</w:t>
      </w:r>
    </w:p>
    <w:p w14:paraId="72F2277B" w14:textId="77777777" w:rsidR="0090259A" w:rsidRDefault="0090259A" w:rsidP="0090259A">
      <w:pPr>
        <w:pStyle w:val="Odstavek"/>
      </w:pPr>
      <w:r>
        <w:t xml:space="preserve">Zavod zagotovi sredstva za financiranje 500 storitev telemedicine, v ocenjeni vrednosti 172.335,00 </w:t>
      </w:r>
      <w:proofErr w:type="spellStart"/>
      <w:r>
        <w:t>eurov</w:t>
      </w:r>
      <w:proofErr w:type="spellEnd"/>
      <w:r>
        <w:t>, kadar je specialistično bolnišnično dejavnost pri pacientih, obolelih za COVID-19, mogoče opravljati v obliki telemedicine. V telemedicinsko spremljanje pacientov, obolelih za COVID-19, se lahko vključijo:</w:t>
      </w:r>
    </w:p>
    <w:p w14:paraId="4EE1814F" w14:textId="77777777" w:rsidR="0090259A" w:rsidRDefault="0090259A" w:rsidP="0090259A">
      <w:pPr>
        <w:pStyle w:val="Alineazaodstavkom"/>
      </w:pPr>
      <w:r>
        <w:t xml:space="preserve">ambulantni </w:t>
      </w:r>
      <w:proofErr w:type="gramStart"/>
      <w:r>
        <w:t>pacienti</w:t>
      </w:r>
      <w:proofErr w:type="gramEnd"/>
      <w:r>
        <w:t xml:space="preserve"> ali pacienti po odpustu iz bolnišničnega okolja, obolelih za COVID-19, pa okužba še ni izzvenela;</w:t>
      </w:r>
    </w:p>
    <w:p w14:paraId="3C2A95A2" w14:textId="77777777" w:rsidR="0090259A" w:rsidRDefault="0090259A" w:rsidP="0090259A">
      <w:pPr>
        <w:pStyle w:val="Alineazaodstavkom"/>
      </w:pPr>
      <w:proofErr w:type="gramStart"/>
      <w:r>
        <w:t>pacienti</w:t>
      </w:r>
      <w:proofErr w:type="gramEnd"/>
      <w:r>
        <w:t>, pri katerih klinična slika ne zahteva hospitalizacije;</w:t>
      </w:r>
    </w:p>
    <w:p w14:paraId="48BB2AD6" w14:textId="68E02B3C" w:rsidR="0090259A" w:rsidRDefault="0090259A" w:rsidP="0090259A">
      <w:pPr>
        <w:pStyle w:val="Alineazaodstavkom"/>
      </w:pPr>
      <w:proofErr w:type="gramStart"/>
      <w:r>
        <w:t>pacienti</w:t>
      </w:r>
      <w:proofErr w:type="gramEnd"/>
      <w:r>
        <w:t>, ki imajo prisotne dejavnike tveganja, kot so pridružene kronične bolezni, imunska pomanjkljivost, starost oziroma so prisotne določene druge okoliščine, ki lahko privedejo k poslabšanju zdravstvenega stanja.</w:t>
      </w:r>
    </w:p>
    <w:p w14:paraId="4F673C6B" w14:textId="77777777" w:rsidR="0090259A" w:rsidRDefault="0090259A" w:rsidP="0090259A">
      <w:pPr>
        <w:pStyle w:val="len"/>
      </w:pPr>
      <w:r>
        <w:t>5. člen</w:t>
      </w:r>
    </w:p>
    <w:p w14:paraId="4685A532" w14:textId="77777777" w:rsidR="0090259A" w:rsidRDefault="0090259A" w:rsidP="0090259A">
      <w:pPr>
        <w:pStyle w:val="Odstavek"/>
      </w:pPr>
      <w:r>
        <w:t>(1) Zdravstveni domovi, zasebni zdravniki oziroma izvajalci s koncesijo, socialno varstveni zavodi, ki so sami izvajalci splošne ambulante oziroma otroškega ali šolskega dispanzerja ter bolnišnice za programe splošnih ambulant, ginekoloških dispanzerjev, ginekoloških ambulant, ambulant za bolezni dojk in zdravljenje borelioze lahko obračunavajo posebej tudi aplikacijo zdravila Remdesivir za zdravljenje nalezljive bolezni COVID-19 oziroma aplikacijo monoklonskih protiteles za zdravljenje nalezljive bolezni COVID-19.</w:t>
      </w:r>
    </w:p>
    <w:p w14:paraId="101F3E37" w14:textId="1DD8D037" w:rsidR="0090259A" w:rsidRDefault="0090259A" w:rsidP="0090259A">
      <w:pPr>
        <w:pStyle w:val="Odstavek"/>
      </w:pPr>
      <w:r>
        <w:t>(2) Ukrep iz prejšnjega odstavka velja od 1. oktobra 2022.</w:t>
      </w:r>
    </w:p>
    <w:p w14:paraId="21B89324" w14:textId="77777777" w:rsidR="00B53AFE" w:rsidRDefault="00B53AFE" w:rsidP="0090259A">
      <w:pPr>
        <w:pStyle w:val="Odstavek"/>
      </w:pPr>
    </w:p>
    <w:p w14:paraId="19A28FA9" w14:textId="77777777" w:rsidR="0090259A" w:rsidRDefault="0090259A" w:rsidP="0090259A">
      <w:pPr>
        <w:pStyle w:val="Poglavje"/>
      </w:pPr>
      <w:r>
        <w:t>III. PLANSKA VREDNOST PROGRAMOV</w:t>
      </w:r>
    </w:p>
    <w:p w14:paraId="0C6E0B68" w14:textId="77777777" w:rsidR="0090259A" w:rsidRDefault="0090259A" w:rsidP="0090259A">
      <w:pPr>
        <w:pStyle w:val="len"/>
      </w:pPr>
      <w:r>
        <w:t>6. člen</w:t>
      </w:r>
    </w:p>
    <w:p w14:paraId="74B8536B" w14:textId="40F198A8" w:rsidR="0090259A" w:rsidRDefault="0090259A" w:rsidP="00B310B3">
      <w:pPr>
        <w:pStyle w:val="Odstavek"/>
        <w:spacing w:after="120"/>
      </w:pPr>
      <w:r>
        <w:t>Za boljše vrednotenje že dogovorjenih programov so načrtovana dodatna sredstva, in sicer:</w:t>
      </w:r>
    </w:p>
    <w:p w14:paraId="0F7A30F0" w14:textId="5DB41ABD" w:rsidR="00B53AFE" w:rsidRDefault="00B53AFE" w:rsidP="00B53AFE">
      <w:pPr>
        <w:pStyle w:val="Odstavek"/>
        <w:spacing w:before="0" w:line="120" w:lineRule="auto"/>
        <w:ind w:firstLine="0"/>
        <w:jc w:val="left"/>
        <w:rPr>
          <w:color w:val="000000"/>
        </w:rPr>
      </w:pPr>
    </w:p>
    <w:p w14:paraId="61729D4C" w14:textId="77777777" w:rsidR="00B53AFE" w:rsidRDefault="00B53AFE" w:rsidP="00B53AFE">
      <w:pPr>
        <w:pStyle w:val="Odstavek"/>
        <w:spacing w:before="0" w:line="120" w:lineRule="auto"/>
        <w:ind w:firstLine="0"/>
        <w:jc w:val="left"/>
        <w:rPr>
          <w:color w:val="000000"/>
          <w:sz w:val="17"/>
          <w:szCs w:val="17"/>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9"/>
        <w:gridCol w:w="1917"/>
        <w:gridCol w:w="1172"/>
        <w:gridCol w:w="1778"/>
        <w:gridCol w:w="1766"/>
      </w:tblGrid>
      <w:tr w:rsidR="0090259A" w:rsidRPr="00B310B3" w14:paraId="2742277E" w14:textId="77777777" w:rsidTr="00CA0DB0">
        <w:trPr>
          <w:trHeight w:hRule="exact" w:val="606"/>
          <w:jc w:val="center"/>
        </w:trPr>
        <w:tc>
          <w:tcPr>
            <w:tcW w:w="2009" w:type="dxa"/>
            <w:tcBorders>
              <w:bottom w:val="single" w:sz="4" w:space="0" w:color="auto"/>
            </w:tcBorders>
            <w:shd w:val="clear" w:color="auto" w:fill="FFFFFF"/>
            <w:vAlign w:val="center"/>
          </w:tcPr>
          <w:p w14:paraId="5E652A61" w14:textId="77777777" w:rsidR="0090259A" w:rsidRPr="00B310B3" w:rsidRDefault="0090259A" w:rsidP="00345660">
            <w:pPr>
              <w:spacing w:line="260" w:lineRule="exact"/>
              <w:rPr>
                <w:rFonts w:cs="Arial"/>
                <w:sz w:val="16"/>
                <w:szCs w:val="14"/>
                <w:highlight w:val="yellow"/>
              </w:rPr>
            </w:pPr>
            <w:r w:rsidRPr="00B310B3">
              <w:rPr>
                <w:rFonts w:cs="Arial"/>
                <w:bCs/>
                <w:sz w:val="16"/>
                <w:szCs w:val="14"/>
              </w:rPr>
              <w:t>Program</w:t>
            </w:r>
          </w:p>
        </w:tc>
        <w:tc>
          <w:tcPr>
            <w:tcW w:w="1917" w:type="dxa"/>
            <w:tcBorders>
              <w:bottom w:val="single" w:sz="4" w:space="0" w:color="auto"/>
            </w:tcBorders>
            <w:shd w:val="clear" w:color="auto" w:fill="FFFFFF"/>
            <w:vAlign w:val="center"/>
          </w:tcPr>
          <w:p w14:paraId="6A17A47A" w14:textId="77777777" w:rsidR="0090259A" w:rsidRPr="00B310B3" w:rsidRDefault="0090259A" w:rsidP="00345660">
            <w:pPr>
              <w:spacing w:line="260" w:lineRule="exact"/>
              <w:rPr>
                <w:rFonts w:cs="Arial"/>
                <w:sz w:val="16"/>
                <w:szCs w:val="14"/>
              </w:rPr>
            </w:pPr>
            <w:r w:rsidRPr="00B310B3">
              <w:rPr>
                <w:rFonts w:cs="Arial"/>
                <w:bCs/>
                <w:sz w:val="16"/>
                <w:szCs w:val="14"/>
              </w:rPr>
              <w:t>Izvajalec</w:t>
            </w:r>
          </w:p>
        </w:tc>
        <w:tc>
          <w:tcPr>
            <w:tcW w:w="1172" w:type="dxa"/>
            <w:tcBorders>
              <w:bottom w:val="single" w:sz="4" w:space="0" w:color="auto"/>
            </w:tcBorders>
            <w:shd w:val="clear" w:color="auto" w:fill="FFFFFF"/>
            <w:vAlign w:val="center"/>
          </w:tcPr>
          <w:p w14:paraId="280DC2F9" w14:textId="77777777" w:rsidR="0090259A" w:rsidRPr="00B310B3" w:rsidRDefault="0090259A" w:rsidP="00345660">
            <w:pPr>
              <w:spacing w:line="260" w:lineRule="exact"/>
              <w:rPr>
                <w:rFonts w:cs="Arial"/>
                <w:sz w:val="16"/>
                <w:szCs w:val="14"/>
              </w:rPr>
            </w:pPr>
            <w:r w:rsidRPr="00B310B3">
              <w:rPr>
                <w:rFonts w:cs="Arial"/>
                <w:bCs/>
                <w:sz w:val="16"/>
                <w:szCs w:val="14"/>
              </w:rPr>
              <w:t>Obseg</w:t>
            </w:r>
          </w:p>
        </w:tc>
        <w:tc>
          <w:tcPr>
            <w:tcW w:w="1778" w:type="dxa"/>
            <w:tcBorders>
              <w:bottom w:val="single" w:sz="4" w:space="0" w:color="auto"/>
            </w:tcBorders>
            <w:shd w:val="clear" w:color="auto" w:fill="FFFFFF"/>
            <w:vAlign w:val="center"/>
          </w:tcPr>
          <w:p w14:paraId="32FD9E74" w14:textId="734D9C7D" w:rsidR="0090259A" w:rsidRPr="00B310B3" w:rsidRDefault="0090259A" w:rsidP="00CA0DB0">
            <w:pPr>
              <w:jc w:val="center"/>
              <w:rPr>
                <w:rFonts w:cs="Arial"/>
                <w:bCs/>
                <w:sz w:val="16"/>
                <w:szCs w:val="14"/>
              </w:rPr>
            </w:pPr>
            <w:r w:rsidRPr="00B310B3">
              <w:rPr>
                <w:rFonts w:cs="Arial"/>
                <w:bCs/>
                <w:sz w:val="16"/>
                <w:szCs w:val="14"/>
              </w:rPr>
              <w:t>Dodatna sredstva letna raven</w:t>
            </w:r>
          </w:p>
          <w:p w14:paraId="46B4935E" w14:textId="77777777" w:rsidR="0090259A" w:rsidRPr="00B310B3" w:rsidRDefault="0090259A" w:rsidP="00CA0DB0">
            <w:pPr>
              <w:jc w:val="center"/>
              <w:rPr>
                <w:rFonts w:cs="Arial"/>
                <w:bCs/>
                <w:sz w:val="16"/>
                <w:szCs w:val="14"/>
              </w:rPr>
            </w:pPr>
            <w:r w:rsidRPr="00B310B3">
              <w:rPr>
                <w:rFonts w:cs="Arial"/>
                <w:sz w:val="16"/>
                <w:szCs w:val="14"/>
              </w:rPr>
              <w:t>(v EUR)</w:t>
            </w:r>
          </w:p>
        </w:tc>
        <w:tc>
          <w:tcPr>
            <w:tcW w:w="1766" w:type="dxa"/>
            <w:tcBorders>
              <w:bottom w:val="single" w:sz="4" w:space="0" w:color="auto"/>
            </w:tcBorders>
            <w:shd w:val="clear" w:color="auto" w:fill="FFFFFF"/>
            <w:vAlign w:val="center"/>
          </w:tcPr>
          <w:p w14:paraId="18866514" w14:textId="77777777" w:rsidR="0090259A" w:rsidRPr="00B310B3" w:rsidRDefault="0090259A" w:rsidP="00CA0DB0">
            <w:pPr>
              <w:jc w:val="center"/>
              <w:rPr>
                <w:rFonts w:cs="Arial"/>
                <w:bCs/>
                <w:sz w:val="16"/>
                <w:szCs w:val="14"/>
              </w:rPr>
            </w:pPr>
            <w:r w:rsidRPr="00B310B3">
              <w:rPr>
                <w:rFonts w:cs="Arial"/>
                <w:bCs/>
                <w:sz w:val="16"/>
                <w:szCs w:val="14"/>
              </w:rPr>
              <w:t>Dodatna sredstva</w:t>
            </w:r>
          </w:p>
          <w:p w14:paraId="76E06144" w14:textId="77777777" w:rsidR="0090259A" w:rsidRPr="00B310B3" w:rsidRDefault="0090259A" w:rsidP="00CA0DB0">
            <w:pPr>
              <w:jc w:val="center"/>
              <w:rPr>
                <w:rFonts w:cs="Arial"/>
                <w:bCs/>
                <w:sz w:val="16"/>
                <w:szCs w:val="14"/>
              </w:rPr>
            </w:pPr>
            <w:r w:rsidRPr="00B310B3">
              <w:rPr>
                <w:rFonts w:cs="Arial"/>
                <w:bCs/>
                <w:sz w:val="16"/>
                <w:szCs w:val="14"/>
              </w:rPr>
              <w:t>1. 10.–</w:t>
            </w:r>
            <w:proofErr w:type="gramStart"/>
            <w:r w:rsidRPr="00B310B3">
              <w:rPr>
                <w:rFonts w:cs="Arial"/>
                <w:bCs/>
                <w:sz w:val="16"/>
                <w:szCs w:val="14"/>
              </w:rPr>
              <w:t>31. 12. 2022</w:t>
            </w:r>
            <w:proofErr w:type="gramEnd"/>
          </w:p>
          <w:p w14:paraId="3F547CBD" w14:textId="1CB490B7" w:rsidR="0090259A" w:rsidRPr="00CA0DB0" w:rsidRDefault="0090259A" w:rsidP="00CA0DB0">
            <w:pPr>
              <w:jc w:val="center"/>
              <w:rPr>
                <w:rFonts w:cs="Arial"/>
                <w:bCs/>
                <w:sz w:val="16"/>
                <w:szCs w:val="14"/>
              </w:rPr>
            </w:pPr>
            <w:r w:rsidRPr="00B310B3">
              <w:rPr>
                <w:rFonts w:cs="Arial"/>
                <w:sz w:val="16"/>
                <w:szCs w:val="14"/>
              </w:rPr>
              <w:t>(v EUR)</w:t>
            </w:r>
          </w:p>
        </w:tc>
      </w:tr>
      <w:tr w:rsidR="0090259A" w:rsidRPr="00B310B3" w14:paraId="74957371" w14:textId="77777777" w:rsidTr="00CA0DB0">
        <w:trPr>
          <w:trHeight w:hRule="exact" w:val="454"/>
          <w:jc w:val="center"/>
        </w:trPr>
        <w:tc>
          <w:tcPr>
            <w:tcW w:w="2009" w:type="dxa"/>
            <w:tcBorders>
              <w:top w:val="single" w:sz="4" w:space="0" w:color="auto"/>
              <w:left w:val="single" w:sz="4" w:space="0" w:color="auto"/>
              <w:bottom w:val="nil"/>
              <w:right w:val="single" w:sz="4" w:space="0" w:color="auto"/>
            </w:tcBorders>
            <w:shd w:val="clear" w:color="auto" w:fill="FFFFFF"/>
            <w:hideMark/>
          </w:tcPr>
          <w:p w14:paraId="2FF1D588" w14:textId="77777777" w:rsidR="0090259A" w:rsidRPr="00B310B3" w:rsidRDefault="0090259A" w:rsidP="00CA0DB0">
            <w:pPr>
              <w:jc w:val="left"/>
              <w:rPr>
                <w:rFonts w:cs="Arial"/>
                <w:sz w:val="16"/>
                <w:szCs w:val="14"/>
              </w:rPr>
            </w:pPr>
            <w:r w:rsidRPr="00B310B3">
              <w:rPr>
                <w:rFonts w:cs="Arial"/>
                <w:sz w:val="16"/>
                <w:szCs w:val="14"/>
              </w:rPr>
              <w:t>Mobilna enota nujnega reševalnega vozila</w:t>
            </w:r>
          </w:p>
        </w:tc>
        <w:tc>
          <w:tcPr>
            <w:tcW w:w="1917" w:type="dxa"/>
            <w:tcBorders>
              <w:left w:val="single" w:sz="4" w:space="0" w:color="auto"/>
              <w:bottom w:val="single" w:sz="4" w:space="0" w:color="auto"/>
            </w:tcBorders>
            <w:shd w:val="clear" w:color="auto" w:fill="FFFFFF"/>
            <w:hideMark/>
          </w:tcPr>
          <w:p w14:paraId="6B998431" w14:textId="77777777" w:rsidR="0090259A" w:rsidRPr="00B310B3" w:rsidRDefault="0090259A" w:rsidP="00345660">
            <w:pPr>
              <w:spacing w:line="260" w:lineRule="exact"/>
              <w:rPr>
                <w:rFonts w:cs="Arial"/>
                <w:sz w:val="16"/>
                <w:szCs w:val="14"/>
              </w:rPr>
            </w:pPr>
            <w:r w:rsidRPr="00B310B3">
              <w:rPr>
                <w:rFonts w:cs="Arial"/>
                <w:sz w:val="16"/>
                <w:szCs w:val="14"/>
              </w:rPr>
              <w:t> </w:t>
            </w:r>
          </w:p>
        </w:tc>
        <w:tc>
          <w:tcPr>
            <w:tcW w:w="1172" w:type="dxa"/>
            <w:shd w:val="clear" w:color="auto" w:fill="FFFFFF"/>
            <w:hideMark/>
          </w:tcPr>
          <w:p w14:paraId="7B713812" w14:textId="77777777" w:rsidR="0090259A" w:rsidRPr="00B310B3" w:rsidRDefault="0090259A" w:rsidP="00345660">
            <w:pPr>
              <w:spacing w:line="260" w:lineRule="exact"/>
              <w:rPr>
                <w:rFonts w:cs="Arial"/>
                <w:sz w:val="16"/>
                <w:szCs w:val="14"/>
              </w:rPr>
            </w:pPr>
            <w:r w:rsidRPr="00B310B3">
              <w:rPr>
                <w:rFonts w:cs="Arial"/>
                <w:sz w:val="16"/>
                <w:szCs w:val="14"/>
              </w:rPr>
              <w:t xml:space="preserve">3,25 </w:t>
            </w:r>
            <w:proofErr w:type="gramStart"/>
            <w:r w:rsidRPr="00B310B3">
              <w:rPr>
                <w:rFonts w:cs="Arial"/>
                <w:sz w:val="16"/>
                <w:szCs w:val="14"/>
              </w:rPr>
              <w:t>timov</w:t>
            </w:r>
            <w:proofErr w:type="gramEnd"/>
          </w:p>
        </w:tc>
        <w:tc>
          <w:tcPr>
            <w:tcW w:w="1778" w:type="dxa"/>
            <w:vMerge w:val="restart"/>
            <w:shd w:val="clear" w:color="auto" w:fill="FFFFFF"/>
            <w:hideMark/>
          </w:tcPr>
          <w:p w14:paraId="4180F683" w14:textId="77777777" w:rsidR="0090259A" w:rsidRPr="00B310B3" w:rsidRDefault="0090259A" w:rsidP="00B310B3">
            <w:pPr>
              <w:spacing w:line="260" w:lineRule="exact"/>
              <w:jc w:val="right"/>
              <w:rPr>
                <w:rFonts w:cs="Arial"/>
                <w:sz w:val="16"/>
                <w:szCs w:val="14"/>
              </w:rPr>
            </w:pPr>
            <w:r w:rsidRPr="00B310B3">
              <w:rPr>
                <w:rFonts w:cs="Arial"/>
                <w:sz w:val="16"/>
                <w:szCs w:val="14"/>
              </w:rPr>
              <w:t>1.622.217,71  </w:t>
            </w:r>
          </w:p>
        </w:tc>
        <w:tc>
          <w:tcPr>
            <w:tcW w:w="1766" w:type="dxa"/>
            <w:vMerge w:val="restart"/>
            <w:shd w:val="clear" w:color="auto" w:fill="FFFFFF"/>
            <w:hideMark/>
          </w:tcPr>
          <w:p w14:paraId="0B7DCFB1" w14:textId="77777777" w:rsidR="0090259A" w:rsidRPr="00B310B3" w:rsidRDefault="0090259A" w:rsidP="00B310B3">
            <w:pPr>
              <w:spacing w:line="260" w:lineRule="exact"/>
              <w:jc w:val="right"/>
              <w:rPr>
                <w:rFonts w:cs="Arial"/>
                <w:sz w:val="16"/>
                <w:szCs w:val="14"/>
              </w:rPr>
            </w:pPr>
            <w:r w:rsidRPr="00B310B3">
              <w:rPr>
                <w:rFonts w:cs="Arial"/>
                <w:sz w:val="16"/>
                <w:szCs w:val="14"/>
              </w:rPr>
              <w:t>405.554,43 </w:t>
            </w:r>
          </w:p>
        </w:tc>
      </w:tr>
      <w:tr w:rsidR="0090259A" w:rsidRPr="00B310B3" w14:paraId="5F09DCAA" w14:textId="77777777" w:rsidTr="00CA0DB0">
        <w:trPr>
          <w:trHeight w:hRule="exact" w:val="227"/>
          <w:jc w:val="center"/>
        </w:trPr>
        <w:tc>
          <w:tcPr>
            <w:tcW w:w="2009" w:type="dxa"/>
            <w:tcBorders>
              <w:top w:val="nil"/>
              <w:left w:val="single" w:sz="4" w:space="0" w:color="auto"/>
              <w:bottom w:val="nil"/>
              <w:right w:val="single" w:sz="4" w:space="0" w:color="auto"/>
            </w:tcBorders>
            <w:shd w:val="clear" w:color="auto" w:fill="FFFFFF"/>
            <w:vAlign w:val="center"/>
            <w:hideMark/>
          </w:tcPr>
          <w:p w14:paraId="247AB475" w14:textId="77777777" w:rsidR="0090259A" w:rsidRPr="00B310B3" w:rsidRDefault="0090259A" w:rsidP="00345660">
            <w:pPr>
              <w:spacing w:line="260" w:lineRule="exact"/>
              <w:rPr>
                <w:rFonts w:cs="Arial"/>
                <w:sz w:val="16"/>
                <w:szCs w:val="14"/>
              </w:rPr>
            </w:pPr>
            <w:proofErr w:type="gramStart"/>
            <w:r w:rsidRPr="00B310B3">
              <w:rPr>
                <w:rFonts w:cs="Arial"/>
                <w:sz w:val="16"/>
                <w:szCs w:val="14"/>
              </w:rPr>
              <w:t>od</w:t>
            </w:r>
            <w:proofErr w:type="gramEnd"/>
            <w:r w:rsidRPr="00B310B3">
              <w:rPr>
                <w:rFonts w:cs="Arial"/>
                <w:sz w:val="16"/>
                <w:szCs w:val="14"/>
              </w:rPr>
              <w:t xml:space="preserve"> tega:</w:t>
            </w:r>
          </w:p>
        </w:tc>
        <w:tc>
          <w:tcPr>
            <w:tcW w:w="1917" w:type="dxa"/>
            <w:tcBorders>
              <w:top w:val="single" w:sz="4" w:space="0" w:color="auto"/>
              <w:left w:val="single" w:sz="4" w:space="0" w:color="auto"/>
            </w:tcBorders>
            <w:shd w:val="clear" w:color="auto" w:fill="FFFFFF"/>
            <w:vAlign w:val="center"/>
            <w:hideMark/>
          </w:tcPr>
          <w:p w14:paraId="1269B078" w14:textId="77777777" w:rsidR="0090259A" w:rsidRPr="00B310B3" w:rsidRDefault="0090259A" w:rsidP="00345660">
            <w:pPr>
              <w:spacing w:line="260" w:lineRule="exact"/>
              <w:rPr>
                <w:rFonts w:cs="Arial"/>
                <w:sz w:val="16"/>
                <w:szCs w:val="14"/>
              </w:rPr>
            </w:pPr>
            <w:r w:rsidRPr="00B310B3">
              <w:rPr>
                <w:rFonts w:cs="Arial"/>
                <w:sz w:val="16"/>
                <w:szCs w:val="14"/>
              </w:rPr>
              <w:t>ZD Lendava</w:t>
            </w:r>
          </w:p>
        </w:tc>
        <w:tc>
          <w:tcPr>
            <w:tcW w:w="1172" w:type="dxa"/>
            <w:shd w:val="clear" w:color="auto" w:fill="FFFFFF"/>
            <w:vAlign w:val="center"/>
            <w:hideMark/>
          </w:tcPr>
          <w:p w14:paraId="7BA39567" w14:textId="77777777" w:rsidR="0090259A" w:rsidRPr="00B310B3" w:rsidRDefault="0090259A" w:rsidP="00345660">
            <w:pPr>
              <w:spacing w:line="260" w:lineRule="exact"/>
              <w:rPr>
                <w:rFonts w:cs="Arial"/>
                <w:sz w:val="16"/>
                <w:szCs w:val="14"/>
              </w:rPr>
            </w:pPr>
            <w:r w:rsidRPr="00B310B3">
              <w:rPr>
                <w:rFonts w:cs="Arial"/>
                <w:sz w:val="16"/>
                <w:szCs w:val="14"/>
              </w:rPr>
              <w:t>0,2</w:t>
            </w:r>
          </w:p>
        </w:tc>
        <w:tc>
          <w:tcPr>
            <w:tcW w:w="1778" w:type="dxa"/>
            <w:vMerge/>
            <w:shd w:val="clear" w:color="auto" w:fill="FFFFFF"/>
            <w:vAlign w:val="center"/>
            <w:hideMark/>
          </w:tcPr>
          <w:p w14:paraId="4DA777E5"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hideMark/>
          </w:tcPr>
          <w:p w14:paraId="2CAF6030" w14:textId="77777777" w:rsidR="0090259A" w:rsidRPr="00B310B3" w:rsidRDefault="0090259A" w:rsidP="00345660">
            <w:pPr>
              <w:spacing w:line="260" w:lineRule="exact"/>
              <w:rPr>
                <w:rFonts w:cs="Arial"/>
                <w:sz w:val="16"/>
                <w:szCs w:val="14"/>
              </w:rPr>
            </w:pPr>
          </w:p>
        </w:tc>
      </w:tr>
      <w:tr w:rsidR="0090259A" w:rsidRPr="00B310B3" w14:paraId="12095410" w14:textId="77777777" w:rsidTr="00CA0DB0">
        <w:trPr>
          <w:trHeight w:hRule="exact" w:val="227"/>
          <w:jc w:val="center"/>
        </w:trPr>
        <w:tc>
          <w:tcPr>
            <w:tcW w:w="2009" w:type="dxa"/>
            <w:vMerge w:val="restart"/>
            <w:tcBorders>
              <w:top w:val="nil"/>
            </w:tcBorders>
            <w:shd w:val="clear" w:color="auto" w:fill="FFFFFF"/>
            <w:vAlign w:val="center"/>
            <w:hideMark/>
          </w:tcPr>
          <w:p w14:paraId="18634DB0" w14:textId="77777777" w:rsidR="0090259A" w:rsidRPr="00B310B3" w:rsidRDefault="0090259A" w:rsidP="0090259A">
            <w:pPr>
              <w:spacing w:line="260" w:lineRule="exact"/>
              <w:rPr>
                <w:rFonts w:cs="Arial"/>
                <w:sz w:val="16"/>
                <w:szCs w:val="14"/>
              </w:rPr>
            </w:pPr>
          </w:p>
        </w:tc>
        <w:tc>
          <w:tcPr>
            <w:tcW w:w="1917" w:type="dxa"/>
            <w:shd w:val="clear" w:color="auto" w:fill="FFFFFF"/>
            <w:vAlign w:val="center"/>
            <w:hideMark/>
          </w:tcPr>
          <w:p w14:paraId="34A809F1" w14:textId="77777777" w:rsidR="0090259A" w:rsidRPr="00B310B3" w:rsidRDefault="0090259A" w:rsidP="00345660">
            <w:pPr>
              <w:spacing w:line="260" w:lineRule="exact"/>
              <w:rPr>
                <w:rFonts w:cs="Arial"/>
                <w:sz w:val="16"/>
                <w:szCs w:val="14"/>
              </w:rPr>
            </w:pPr>
            <w:r w:rsidRPr="00B310B3">
              <w:rPr>
                <w:rFonts w:cs="Arial"/>
                <w:sz w:val="16"/>
                <w:szCs w:val="14"/>
              </w:rPr>
              <w:t>ZD Lenart</w:t>
            </w:r>
          </w:p>
        </w:tc>
        <w:tc>
          <w:tcPr>
            <w:tcW w:w="1172" w:type="dxa"/>
            <w:shd w:val="clear" w:color="auto" w:fill="FFFFFF"/>
            <w:vAlign w:val="center"/>
            <w:hideMark/>
          </w:tcPr>
          <w:p w14:paraId="2D923473" w14:textId="77777777" w:rsidR="0090259A" w:rsidRPr="00B310B3" w:rsidRDefault="0090259A" w:rsidP="00345660">
            <w:pPr>
              <w:spacing w:line="260" w:lineRule="exact"/>
              <w:rPr>
                <w:rFonts w:cs="Arial"/>
                <w:sz w:val="16"/>
                <w:szCs w:val="14"/>
              </w:rPr>
            </w:pPr>
            <w:r w:rsidRPr="00B310B3">
              <w:rPr>
                <w:rFonts w:cs="Arial"/>
                <w:sz w:val="16"/>
                <w:szCs w:val="14"/>
              </w:rPr>
              <w:t>0,31</w:t>
            </w:r>
          </w:p>
        </w:tc>
        <w:tc>
          <w:tcPr>
            <w:tcW w:w="1778" w:type="dxa"/>
            <w:vMerge/>
            <w:shd w:val="clear" w:color="auto" w:fill="FFFFFF"/>
            <w:vAlign w:val="center"/>
            <w:hideMark/>
          </w:tcPr>
          <w:p w14:paraId="5CF2E7B5"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hideMark/>
          </w:tcPr>
          <w:p w14:paraId="6DAFF2FA" w14:textId="77777777" w:rsidR="0090259A" w:rsidRPr="00B310B3" w:rsidRDefault="0090259A" w:rsidP="00345660">
            <w:pPr>
              <w:spacing w:line="260" w:lineRule="exact"/>
              <w:rPr>
                <w:rFonts w:cs="Arial"/>
                <w:sz w:val="16"/>
                <w:szCs w:val="14"/>
              </w:rPr>
            </w:pPr>
          </w:p>
        </w:tc>
      </w:tr>
      <w:tr w:rsidR="0090259A" w:rsidRPr="00B310B3" w14:paraId="21770CED" w14:textId="77777777" w:rsidTr="00CA0DB0">
        <w:trPr>
          <w:trHeight w:hRule="exact" w:val="227"/>
          <w:jc w:val="center"/>
        </w:trPr>
        <w:tc>
          <w:tcPr>
            <w:tcW w:w="2009" w:type="dxa"/>
            <w:vMerge/>
            <w:shd w:val="clear" w:color="auto" w:fill="FFFFFF"/>
            <w:vAlign w:val="center"/>
            <w:hideMark/>
          </w:tcPr>
          <w:p w14:paraId="0AEAAB61"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67BD593D" w14:textId="77777777" w:rsidR="0090259A" w:rsidRPr="00B310B3" w:rsidRDefault="0090259A" w:rsidP="00345660">
            <w:pPr>
              <w:spacing w:line="260" w:lineRule="exact"/>
              <w:rPr>
                <w:rFonts w:cs="Arial"/>
                <w:sz w:val="16"/>
                <w:szCs w:val="14"/>
              </w:rPr>
            </w:pPr>
            <w:r w:rsidRPr="00B310B3">
              <w:rPr>
                <w:rFonts w:cs="Arial"/>
                <w:sz w:val="16"/>
                <w:szCs w:val="14"/>
              </w:rPr>
              <w:t>ZD Sl. Konjice</w:t>
            </w:r>
          </w:p>
        </w:tc>
        <w:tc>
          <w:tcPr>
            <w:tcW w:w="1172" w:type="dxa"/>
            <w:shd w:val="clear" w:color="auto" w:fill="FFFFFF"/>
            <w:vAlign w:val="center"/>
          </w:tcPr>
          <w:p w14:paraId="6615716B" w14:textId="77777777" w:rsidR="0090259A" w:rsidRPr="00B310B3" w:rsidRDefault="0090259A" w:rsidP="00345660">
            <w:pPr>
              <w:spacing w:line="260" w:lineRule="exact"/>
              <w:rPr>
                <w:rFonts w:cs="Arial"/>
                <w:sz w:val="16"/>
                <w:szCs w:val="14"/>
              </w:rPr>
            </w:pPr>
            <w:r w:rsidRPr="00B310B3">
              <w:rPr>
                <w:rFonts w:cs="Arial"/>
                <w:sz w:val="16"/>
                <w:szCs w:val="14"/>
              </w:rPr>
              <w:t>0,2</w:t>
            </w:r>
          </w:p>
        </w:tc>
        <w:tc>
          <w:tcPr>
            <w:tcW w:w="1778" w:type="dxa"/>
            <w:vMerge/>
            <w:shd w:val="clear" w:color="auto" w:fill="FFFFFF"/>
            <w:vAlign w:val="center"/>
            <w:hideMark/>
          </w:tcPr>
          <w:p w14:paraId="5FAD042A"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hideMark/>
          </w:tcPr>
          <w:p w14:paraId="0B85A77D" w14:textId="77777777" w:rsidR="0090259A" w:rsidRPr="00B310B3" w:rsidRDefault="0090259A" w:rsidP="00345660">
            <w:pPr>
              <w:spacing w:line="260" w:lineRule="exact"/>
              <w:rPr>
                <w:rFonts w:cs="Arial"/>
                <w:sz w:val="16"/>
                <w:szCs w:val="14"/>
              </w:rPr>
            </w:pPr>
          </w:p>
        </w:tc>
      </w:tr>
      <w:tr w:rsidR="0090259A" w:rsidRPr="00B310B3" w14:paraId="5F6624B1" w14:textId="77777777" w:rsidTr="00CA0DB0">
        <w:trPr>
          <w:trHeight w:hRule="exact" w:val="227"/>
          <w:jc w:val="center"/>
        </w:trPr>
        <w:tc>
          <w:tcPr>
            <w:tcW w:w="2009" w:type="dxa"/>
            <w:vMerge/>
            <w:shd w:val="clear" w:color="auto" w:fill="FFFFFF"/>
            <w:vAlign w:val="center"/>
          </w:tcPr>
          <w:p w14:paraId="6F37A182"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443BE805" w14:textId="77777777" w:rsidR="0090259A" w:rsidRPr="00B310B3" w:rsidRDefault="0090259A" w:rsidP="00345660">
            <w:pPr>
              <w:spacing w:line="260" w:lineRule="exact"/>
              <w:rPr>
                <w:rFonts w:cs="Arial"/>
                <w:sz w:val="16"/>
                <w:szCs w:val="14"/>
              </w:rPr>
            </w:pPr>
            <w:r w:rsidRPr="00B310B3">
              <w:rPr>
                <w:rFonts w:cs="Arial"/>
                <w:sz w:val="16"/>
                <w:szCs w:val="14"/>
              </w:rPr>
              <w:t>ZD Hrastnik</w:t>
            </w:r>
          </w:p>
        </w:tc>
        <w:tc>
          <w:tcPr>
            <w:tcW w:w="1172" w:type="dxa"/>
            <w:shd w:val="clear" w:color="auto" w:fill="FFFFFF"/>
            <w:vAlign w:val="center"/>
          </w:tcPr>
          <w:p w14:paraId="4940E1F4" w14:textId="77777777" w:rsidR="0090259A" w:rsidRPr="00B310B3" w:rsidRDefault="0090259A" w:rsidP="00345660">
            <w:pPr>
              <w:spacing w:line="260" w:lineRule="exact"/>
              <w:rPr>
                <w:rFonts w:cs="Arial"/>
                <w:sz w:val="16"/>
                <w:szCs w:val="14"/>
              </w:rPr>
            </w:pPr>
            <w:r w:rsidRPr="00B310B3">
              <w:rPr>
                <w:rFonts w:cs="Arial"/>
                <w:sz w:val="16"/>
                <w:szCs w:val="14"/>
              </w:rPr>
              <w:t>0,2</w:t>
            </w:r>
          </w:p>
        </w:tc>
        <w:tc>
          <w:tcPr>
            <w:tcW w:w="1778" w:type="dxa"/>
            <w:vMerge/>
            <w:shd w:val="clear" w:color="auto" w:fill="FFFFFF"/>
            <w:vAlign w:val="center"/>
          </w:tcPr>
          <w:p w14:paraId="59293B2F"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1DD06958" w14:textId="77777777" w:rsidR="0090259A" w:rsidRPr="00B310B3" w:rsidRDefault="0090259A" w:rsidP="00345660">
            <w:pPr>
              <w:spacing w:line="260" w:lineRule="exact"/>
              <w:rPr>
                <w:rFonts w:cs="Arial"/>
                <w:sz w:val="16"/>
                <w:szCs w:val="14"/>
              </w:rPr>
            </w:pPr>
          </w:p>
        </w:tc>
      </w:tr>
      <w:tr w:rsidR="0090259A" w:rsidRPr="00B310B3" w14:paraId="554E7FE7" w14:textId="77777777" w:rsidTr="00CA0DB0">
        <w:trPr>
          <w:trHeight w:hRule="exact" w:val="227"/>
          <w:jc w:val="center"/>
        </w:trPr>
        <w:tc>
          <w:tcPr>
            <w:tcW w:w="2009" w:type="dxa"/>
            <w:vMerge/>
            <w:shd w:val="clear" w:color="auto" w:fill="FFFFFF"/>
            <w:vAlign w:val="center"/>
          </w:tcPr>
          <w:p w14:paraId="6C9A7E54"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7DED4929" w14:textId="77777777" w:rsidR="0090259A" w:rsidRPr="00B310B3" w:rsidRDefault="0090259A" w:rsidP="00345660">
            <w:pPr>
              <w:spacing w:line="260" w:lineRule="exact"/>
              <w:rPr>
                <w:rFonts w:cs="Arial"/>
                <w:sz w:val="16"/>
                <w:szCs w:val="14"/>
              </w:rPr>
            </w:pPr>
            <w:r w:rsidRPr="00B310B3">
              <w:rPr>
                <w:rFonts w:cs="Arial"/>
                <w:sz w:val="16"/>
                <w:szCs w:val="14"/>
              </w:rPr>
              <w:t>ZD Tržič</w:t>
            </w:r>
          </w:p>
        </w:tc>
        <w:tc>
          <w:tcPr>
            <w:tcW w:w="1172" w:type="dxa"/>
            <w:shd w:val="clear" w:color="auto" w:fill="FFFFFF"/>
            <w:vAlign w:val="center"/>
          </w:tcPr>
          <w:p w14:paraId="131C926C" w14:textId="77777777" w:rsidR="0090259A" w:rsidRPr="00B310B3" w:rsidRDefault="0090259A" w:rsidP="00345660">
            <w:pPr>
              <w:spacing w:line="260" w:lineRule="exact"/>
              <w:rPr>
                <w:rFonts w:cs="Arial"/>
                <w:sz w:val="16"/>
                <w:szCs w:val="14"/>
              </w:rPr>
            </w:pPr>
            <w:r w:rsidRPr="00B310B3">
              <w:rPr>
                <w:rFonts w:cs="Arial"/>
                <w:sz w:val="16"/>
                <w:szCs w:val="14"/>
              </w:rPr>
              <w:t>0,04</w:t>
            </w:r>
          </w:p>
        </w:tc>
        <w:tc>
          <w:tcPr>
            <w:tcW w:w="1778" w:type="dxa"/>
            <w:vMerge/>
            <w:shd w:val="clear" w:color="auto" w:fill="FFFFFF"/>
            <w:vAlign w:val="center"/>
          </w:tcPr>
          <w:p w14:paraId="4A29FBB2"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47A9B9EC" w14:textId="77777777" w:rsidR="0090259A" w:rsidRPr="00B310B3" w:rsidRDefault="0090259A" w:rsidP="00345660">
            <w:pPr>
              <w:spacing w:line="260" w:lineRule="exact"/>
              <w:rPr>
                <w:rFonts w:cs="Arial"/>
                <w:sz w:val="16"/>
                <w:szCs w:val="14"/>
              </w:rPr>
            </w:pPr>
          </w:p>
        </w:tc>
      </w:tr>
      <w:tr w:rsidR="0090259A" w:rsidRPr="00B310B3" w14:paraId="4FFE9A52" w14:textId="77777777" w:rsidTr="00CA0DB0">
        <w:trPr>
          <w:trHeight w:hRule="exact" w:val="227"/>
          <w:jc w:val="center"/>
        </w:trPr>
        <w:tc>
          <w:tcPr>
            <w:tcW w:w="2009" w:type="dxa"/>
            <w:vMerge/>
            <w:shd w:val="clear" w:color="auto" w:fill="FFFFFF"/>
            <w:vAlign w:val="center"/>
          </w:tcPr>
          <w:p w14:paraId="3F8DB3B5"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3A340B15" w14:textId="77777777" w:rsidR="0090259A" w:rsidRPr="00B310B3" w:rsidRDefault="0090259A" w:rsidP="00345660">
            <w:pPr>
              <w:spacing w:line="260" w:lineRule="exact"/>
              <w:rPr>
                <w:rFonts w:cs="Arial"/>
                <w:sz w:val="16"/>
                <w:szCs w:val="14"/>
              </w:rPr>
            </w:pPr>
            <w:r w:rsidRPr="00B310B3">
              <w:rPr>
                <w:rFonts w:cs="Arial"/>
                <w:sz w:val="16"/>
                <w:szCs w:val="14"/>
              </w:rPr>
              <w:t>ZD Bled</w:t>
            </w:r>
          </w:p>
        </w:tc>
        <w:tc>
          <w:tcPr>
            <w:tcW w:w="1172" w:type="dxa"/>
            <w:shd w:val="clear" w:color="auto" w:fill="FFFFFF"/>
            <w:vAlign w:val="center"/>
          </w:tcPr>
          <w:p w14:paraId="799A06C8" w14:textId="77777777" w:rsidR="0090259A" w:rsidRPr="00B310B3" w:rsidRDefault="0090259A" w:rsidP="00345660">
            <w:pPr>
              <w:spacing w:line="260" w:lineRule="exact"/>
              <w:rPr>
                <w:rFonts w:cs="Arial"/>
                <w:sz w:val="16"/>
                <w:szCs w:val="14"/>
              </w:rPr>
            </w:pPr>
            <w:r w:rsidRPr="00B310B3">
              <w:rPr>
                <w:rFonts w:cs="Arial"/>
                <w:sz w:val="16"/>
                <w:szCs w:val="14"/>
              </w:rPr>
              <w:t>0,14</w:t>
            </w:r>
          </w:p>
        </w:tc>
        <w:tc>
          <w:tcPr>
            <w:tcW w:w="1778" w:type="dxa"/>
            <w:vMerge/>
            <w:shd w:val="clear" w:color="auto" w:fill="FFFFFF"/>
            <w:vAlign w:val="center"/>
          </w:tcPr>
          <w:p w14:paraId="250324EA"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04ABDB09" w14:textId="77777777" w:rsidR="0090259A" w:rsidRPr="00B310B3" w:rsidRDefault="0090259A" w:rsidP="00345660">
            <w:pPr>
              <w:spacing w:line="260" w:lineRule="exact"/>
              <w:rPr>
                <w:rFonts w:cs="Arial"/>
                <w:sz w:val="16"/>
                <w:szCs w:val="14"/>
              </w:rPr>
            </w:pPr>
          </w:p>
        </w:tc>
      </w:tr>
      <w:tr w:rsidR="0090259A" w:rsidRPr="00B310B3" w14:paraId="5C84CB5E" w14:textId="77777777" w:rsidTr="00CA0DB0">
        <w:trPr>
          <w:trHeight w:hRule="exact" w:val="227"/>
          <w:jc w:val="center"/>
        </w:trPr>
        <w:tc>
          <w:tcPr>
            <w:tcW w:w="2009" w:type="dxa"/>
            <w:vMerge/>
            <w:shd w:val="clear" w:color="auto" w:fill="FFFFFF"/>
            <w:vAlign w:val="center"/>
          </w:tcPr>
          <w:p w14:paraId="75732283"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5CFFFCEA" w14:textId="77777777" w:rsidR="0090259A" w:rsidRPr="00B310B3" w:rsidRDefault="0090259A" w:rsidP="00345660">
            <w:pPr>
              <w:spacing w:line="260" w:lineRule="exact"/>
              <w:rPr>
                <w:rFonts w:cs="Arial"/>
                <w:sz w:val="16"/>
                <w:szCs w:val="14"/>
              </w:rPr>
            </w:pPr>
            <w:r w:rsidRPr="00B310B3">
              <w:rPr>
                <w:rFonts w:cs="Arial"/>
                <w:sz w:val="16"/>
                <w:szCs w:val="14"/>
              </w:rPr>
              <w:t>ZD N. Gorica</w:t>
            </w:r>
          </w:p>
        </w:tc>
        <w:tc>
          <w:tcPr>
            <w:tcW w:w="1172" w:type="dxa"/>
            <w:shd w:val="clear" w:color="auto" w:fill="FFFFFF"/>
            <w:vAlign w:val="center"/>
          </w:tcPr>
          <w:p w14:paraId="63968AA0" w14:textId="77777777" w:rsidR="0090259A" w:rsidRPr="00B310B3" w:rsidRDefault="0090259A" w:rsidP="00345660">
            <w:pPr>
              <w:spacing w:line="260" w:lineRule="exact"/>
              <w:rPr>
                <w:rFonts w:cs="Arial"/>
                <w:sz w:val="16"/>
                <w:szCs w:val="14"/>
              </w:rPr>
            </w:pPr>
            <w:r w:rsidRPr="00B310B3">
              <w:rPr>
                <w:rFonts w:cs="Arial"/>
                <w:sz w:val="16"/>
                <w:szCs w:val="14"/>
              </w:rPr>
              <w:t>0,3</w:t>
            </w:r>
          </w:p>
        </w:tc>
        <w:tc>
          <w:tcPr>
            <w:tcW w:w="1778" w:type="dxa"/>
            <w:vMerge/>
            <w:shd w:val="clear" w:color="auto" w:fill="FFFFFF"/>
            <w:vAlign w:val="center"/>
          </w:tcPr>
          <w:p w14:paraId="2151125D"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3E3A4563" w14:textId="77777777" w:rsidR="0090259A" w:rsidRPr="00B310B3" w:rsidRDefault="0090259A" w:rsidP="00345660">
            <w:pPr>
              <w:spacing w:line="260" w:lineRule="exact"/>
              <w:rPr>
                <w:rFonts w:cs="Arial"/>
                <w:sz w:val="16"/>
                <w:szCs w:val="14"/>
              </w:rPr>
            </w:pPr>
          </w:p>
        </w:tc>
      </w:tr>
      <w:tr w:rsidR="0090259A" w:rsidRPr="00B310B3" w14:paraId="357DB28C" w14:textId="77777777" w:rsidTr="00CA0DB0">
        <w:trPr>
          <w:trHeight w:hRule="exact" w:val="227"/>
          <w:jc w:val="center"/>
        </w:trPr>
        <w:tc>
          <w:tcPr>
            <w:tcW w:w="2009" w:type="dxa"/>
            <w:vMerge/>
            <w:shd w:val="clear" w:color="auto" w:fill="FFFFFF"/>
            <w:vAlign w:val="center"/>
          </w:tcPr>
          <w:p w14:paraId="6D7ABE45"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18E25734" w14:textId="77777777" w:rsidR="0090259A" w:rsidRPr="00B310B3" w:rsidRDefault="0090259A" w:rsidP="00345660">
            <w:pPr>
              <w:spacing w:line="260" w:lineRule="exact"/>
              <w:rPr>
                <w:rFonts w:cs="Arial"/>
                <w:sz w:val="16"/>
                <w:szCs w:val="14"/>
              </w:rPr>
            </w:pPr>
            <w:r w:rsidRPr="00B310B3">
              <w:rPr>
                <w:rFonts w:cs="Arial"/>
                <w:sz w:val="16"/>
                <w:szCs w:val="14"/>
              </w:rPr>
              <w:t>ZD Tolmin</w:t>
            </w:r>
          </w:p>
        </w:tc>
        <w:tc>
          <w:tcPr>
            <w:tcW w:w="1172" w:type="dxa"/>
            <w:shd w:val="clear" w:color="auto" w:fill="FFFFFF"/>
            <w:vAlign w:val="center"/>
          </w:tcPr>
          <w:p w14:paraId="3E381C5D" w14:textId="77777777" w:rsidR="0090259A" w:rsidRPr="00B310B3" w:rsidRDefault="0090259A" w:rsidP="00345660">
            <w:pPr>
              <w:spacing w:line="260" w:lineRule="exact"/>
              <w:rPr>
                <w:rFonts w:cs="Arial"/>
                <w:sz w:val="16"/>
                <w:szCs w:val="14"/>
              </w:rPr>
            </w:pPr>
            <w:r w:rsidRPr="00B310B3">
              <w:rPr>
                <w:rFonts w:cs="Arial"/>
                <w:sz w:val="16"/>
                <w:szCs w:val="14"/>
              </w:rPr>
              <w:t>0,35</w:t>
            </w:r>
          </w:p>
        </w:tc>
        <w:tc>
          <w:tcPr>
            <w:tcW w:w="1778" w:type="dxa"/>
            <w:vMerge/>
            <w:shd w:val="clear" w:color="auto" w:fill="FFFFFF"/>
            <w:vAlign w:val="center"/>
          </w:tcPr>
          <w:p w14:paraId="09A4F7A7"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18BD694F" w14:textId="77777777" w:rsidR="0090259A" w:rsidRPr="00B310B3" w:rsidRDefault="0090259A" w:rsidP="00345660">
            <w:pPr>
              <w:spacing w:line="260" w:lineRule="exact"/>
              <w:rPr>
                <w:rFonts w:cs="Arial"/>
                <w:sz w:val="16"/>
                <w:szCs w:val="14"/>
              </w:rPr>
            </w:pPr>
          </w:p>
        </w:tc>
      </w:tr>
      <w:tr w:rsidR="0090259A" w:rsidRPr="00B310B3" w14:paraId="04747A98" w14:textId="77777777" w:rsidTr="00CA0DB0">
        <w:trPr>
          <w:trHeight w:hRule="exact" w:val="227"/>
          <w:jc w:val="center"/>
        </w:trPr>
        <w:tc>
          <w:tcPr>
            <w:tcW w:w="2009" w:type="dxa"/>
            <w:vMerge/>
            <w:shd w:val="clear" w:color="auto" w:fill="FFFFFF"/>
            <w:vAlign w:val="center"/>
          </w:tcPr>
          <w:p w14:paraId="32377D33"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15CAED4A" w14:textId="77777777" w:rsidR="0090259A" w:rsidRPr="00B310B3" w:rsidRDefault="0090259A" w:rsidP="00345660">
            <w:pPr>
              <w:spacing w:line="260" w:lineRule="exact"/>
              <w:rPr>
                <w:rFonts w:cs="Arial"/>
                <w:sz w:val="16"/>
                <w:szCs w:val="14"/>
              </w:rPr>
            </w:pPr>
            <w:r w:rsidRPr="00B310B3">
              <w:rPr>
                <w:rFonts w:cs="Arial"/>
                <w:sz w:val="16"/>
                <w:szCs w:val="14"/>
              </w:rPr>
              <w:t>ZD Ilirska Bistrica</w:t>
            </w:r>
          </w:p>
        </w:tc>
        <w:tc>
          <w:tcPr>
            <w:tcW w:w="1172" w:type="dxa"/>
            <w:shd w:val="clear" w:color="auto" w:fill="FFFFFF"/>
            <w:vAlign w:val="center"/>
          </w:tcPr>
          <w:p w14:paraId="24FDE89B" w14:textId="77777777" w:rsidR="0090259A" w:rsidRPr="00B310B3" w:rsidRDefault="0090259A" w:rsidP="00345660">
            <w:pPr>
              <w:spacing w:line="260" w:lineRule="exact"/>
              <w:rPr>
                <w:rFonts w:cs="Arial"/>
                <w:sz w:val="16"/>
                <w:szCs w:val="14"/>
              </w:rPr>
            </w:pPr>
            <w:r w:rsidRPr="00B310B3">
              <w:rPr>
                <w:rFonts w:cs="Arial"/>
                <w:sz w:val="16"/>
                <w:szCs w:val="14"/>
              </w:rPr>
              <w:t>0,2</w:t>
            </w:r>
          </w:p>
        </w:tc>
        <w:tc>
          <w:tcPr>
            <w:tcW w:w="1778" w:type="dxa"/>
            <w:vMerge/>
            <w:shd w:val="clear" w:color="auto" w:fill="FFFFFF"/>
            <w:vAlign w:val="center"/>
          </w:tcPr>
          <w:p w14:paraId="3BD1490B"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66EBF074" w14:textId="77777777" w:rsidR="0090259A" w:rsidRPr="00B310B3" w:rsidRDefault="0090259A" w:rsidP="00345660">
            <w:pPr>
              <w:spacing w:line="260" w:lineRule="exact"/>
              <w:rPr>
                <w:rFonts w:cs="Arial"/>
                <w:sz w:val="16"/>
                <w:szCs w:val="14"/>
              </w:rPr>
            </w:pPr>
          </w:p>
        </w:tc>
      </w:tr>
      <w:tr w:rsidR="0090259A" w:rsidRPr="00B310B3" w14:paraId="1122E1E1" w14:textId="77777777" w:rsidTr="00CA0DB0">
        <w:trPr>
          <w:trHeight w:hRule="exact" w:val="227"/>
          <w:jc w:val="center"/>
        </w:trPr>
        <w:tc>
          <w:tcPr>
            <w:tcW w:w="2009" w:type="dxa"/>
            <w:vMerge/>
            <w:shd w:val="clear" w:color="auto" w:fill="FFFFFF"/>
            <w:vAlign w:val="center"/>
          </w:tcPr>
          <w:p w14:paraId="038FD4A4"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3FDD4CA1" w14:textId="77777777" w:rsidR="0090259A" w:rsidRPr="00B310B3" w:rsidRDefault="0090259A" w:rsidP="00345660">
            <w:pPr>
              <w:spacing w:line="260" w:lineRule="exact"/>
              <w:rPr>
                <w:rFonts w:cs="Arial"/>
                <w:sz w:val="16"/>
                <w:szCs w:val="14"/>
              </w:rPr>
            </w:pPr>
            <w:r w:rsidRPr="00B310B3">
              <w:rPr>
                <w:rFonts w:cs="Arial"/>
                <w:sz w:val="16"/>
                <w:szCs w:val="14"/>
              </w:rPr>
              <w:t>ZD Sežana</w:t>
            </w:r>
          </w:p>
        </w:tc>
        <w:tc>
          <w:tcPr>
            <w:tcW w:w="1172" w:type="dxa"/>
            <w:shd w:val="clear" w:color="auto" w:fill="FFFFFF"/>
            <w:vAlign w:val="center"/>
          </w:tcPr>
          <w:p w14:paraId="27D1870B" w14:textId="77777777" w:rsidR="0090259A" w:rsidRPr="00B310B3" w:rsidRDefault="0090259A" w:rsidP="00345660">
            <w:pPr>
              <w:spacing w:line="260" w:lineRule="exact"/>
              <w:rPr>
                <w:rFonts w:cs="Arial"/>
                <w:sz w:val="16"/>
                <w:szCs w:val="14"/>
              </w:rPr>
            </w:pPr>
            <w:r w:rsidRPr="00B310B3">
              <w:rPr>
                <w:rFonts w:cs="Arial"/>
                <w:sz w:val="16"/>
                <w:szCs w:val="14"/>
              </w:rPr>
              <w:t>0,2</w:t>
            </w:r>
          </w:p>
        </w:tc>
        <w:tc>
          <w:tcPr>
            <w:tcW w:w="1778" w:type="dxa"/>
            <w:vMerge/>
            <w:shd w:val="clear" w:color="auto" w:fill="FFFFFF"/>
            <w:vAlign w:val="center"/>
          </w:tcPr>
          <w:p w14:paraId="2C368092"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41EF3722" w14:textId="77777777" w:rsidR="0090259A" w:rsidRPr="00B310B3" w:rsidRDefault="0090259A" w:rsidP="00345660">
            <w:pPr>
              <w:spacing w:line="260" w:lineRule="exact"/>
              <w:rPr>
                <w:rFonts w:cs="Arial"/>
                <w:sz w:val="16"/>
                <w:szCs w:val="14"/>
              </w:rPr>
            </w:pPr>
          </w:p>
        </w:tc>
      </w:tr>
      <w:tr w:rsidR="0090259A" w:rsidRPr="00B310B3" w14:paraId="249CA725" w14:textId="77777777" w:rsidTr="00CA0DB0">
        <w:trPr>
          <w:trHeight w:hRule="exact" w:val="227"/>
          <w:jc w:val="center"/>
        </w:trPr>
        <w:tc>
          <w:tcPr>
            <w:tcW w:w="2009" w:type="dxa"/>
            <w:vMerge/>
            <w:shd w:val="clear" w:color="auto" w:fill="FFFFFF"/>
            <w:vAlign w:val="center"/>
          </w:tcPr>
          <w:p w14:paraId="02403601"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74647FDA" w14:textId="77777777" w:rsidR="0090259A" w:rsidRPr="00B310B3" w:rsidRDefault="0090259A" w:rsidP="00345660">
            <w:pPr>
              <w:spacing w:line="260" w:lineRule="exact"/>
              <w:rPr>
                <w:rFonts w:cs="Arial"/>
                <w:sz w:val="16"/>
                <w:szCs w:val="14"/>
              </w:rPr>
            </w:pPr>
            <w:r w:rsidRPr="00B310B3">
              <w:rPr>
                <w:rFonts w:cs="Arial"/>
                <w:sz w:val="16"/>
                <w:szCs w:val="14"/>
              </w:rPr>
              <w:t>UKC Ljubljana</w:t>
            </w:r>
          </w:p>
        </w:tc>
        <w:tc>
          <w:tcPr>
            <w:tcW w:w="1172" w:type="dxa"/>
            <w:shd w:val="clear" w:color="auto" w:fill="FFFFFF"/>
            <w:vAlign w:val="center"/>
          </w:tcPr>
          <w:p w14:paraId="4E89D6F1" w14:textId="77777777" w:rsidR="0090259A" w:rsidRPr="00B310B3" w:rsidRDefault="0090259A" w:rsidP="00345660">
            <w:pPr>
              <w:spacing w:line="260" w:lineRule="exact"/>
              <w:rPr>
                <w:rFonts w:cs="Arial"/>
                <w:sz w:val="16"/>
                <w:szCs w:val="14"/>
              </w:rPr>
            </w:pPr>
            <w:r w:rsidRPr="00B310B3">
              <w:rPr>
                <w:rFonts w:cs="Arial"/>
                <w:sz w:val="16"/>
                <w:szCs w:val="14"/>
              </w:rPr>
              <w:t>0,109</w:t>
            </w:r>
          </w:p>
        </w:tc>
        <w:tc>
          <w:tcPr>
            <w:tcW w:w="1778" w:type="dxa"/>
            <w:vMerge/>
            <w:shd w:val="clear" w:color="auto" w:fill="FFFFFF"/>
            <w:vAlign w:val="center"/>
          </w:tcPr>
          <w:p w14:paraId="1907B8FD"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585088CB" w14:textId="77777777" w:rsidR="0090259A" w:rsidRPr="00B310B3" w:rsidRDefault="0090259A" w:rsidP="00345660">
            <w:pPr>
              <w:spacing w:line="260" w:lineRule="exact"/>
              <w:rPr>
                <w:rFonts w:cs="Arial"/>
                <w:sz w:val="16"/>
                <w:szCs w:val="14"/>
              </w:rPr>
            </w:pPr>
          </w:p>
        </w:tc>
      </w:tr>
      <w:tr w:rsidR="0090259A" w:rsidRPr="00B310B3" w14:paraId="6A222E7B" w14:textId="77777777" w:rsidTr="00CA0DB0">
        <w:trPr>
          <w:trHeight w:hRule="exact" w:val="227"/>
          <w:jc w:val="center"/>
        </w:trPr>
        <w:tc>
          <w:tcPr>
            <w:tcW w:w="2009" w:type="dxa"/>
            <w:vMerge/>
            <w:shd w:val="clear" w:color="auto" w:fill="FFFFFF"/>
            <w:vAlign w:val="center"/>
          </w:tcPr>
          <w:p w14:paraId="28C4F04A"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2643030D" w14:textId="77777777" w:rsidR="0090259A" w:rsidRPr="00B310B3" w:rsidRDefault="0090259A" w:rsidP="00345660">
            <w:pPr>
              <w:spacing w:line="260" w:lineRule="exact"/>
              <w:rPr>
                <w:rFonts w:cs="Arial"/>
                <w:sz w:val="16"/>
                <w:szCs w:val="14"/>
              </w:rPr>
            </w:pPr>
            <w:r w:rsidRPr="00B310B3">
              <w:rPr>
                <w:rFonts w:cs="Arial"/>
                <w:sz w:val="16"/>
                <w:szCs w:val="14"/>
              </w:rPr>
              <w:t>ZD Nazarje</w:t>
            </w:r>
          </w:p>
        </w:tc>
        <w:tc>
          <w:tcPr>
            <w:tcW w:w="1172" w:type="dxa"/>
            <w:shd w:val="clear" w:color="auto" w:fill="FFFFFF"/>
            <w:vAlign w:val="center"/>
          </w:tcPr>
          <w:p w14:paraId="73D8DE17" w14:textId="77777777" w:rsidR="0090259A" w:rsidRPr="00B310B3" w:rsidRDefault="0090259A" w:rsidP="00345660">
            <w:pPr>
              <w:spacing w:line="260" w:lineRule="exact"/>
              <w:rPr>
                <w:rFonts w:cs="Arial"/>
                <w:sz w:val="16"/>
                <w:szCs w:val="14"/>
              </w:rPr>
            </w:pPr>
            <w:r w:rsidRPr="00B310B3">
              <w:rPr>
                <w:rFonts w:cs="Arial"/>
                <w:sz w:val="16"/>
                <w:szCs w:val="14"/>
              </w:rPr>
              <w:t>0,5</w:t>
            </w:r>
          </w:p>
        </w:tc>
        <w:tc>
          <w:tcPr>
            <w:tcW w:w="1778" w:type="dxa"/>
            <w:vMerge/>
            <w:shd w:val="clear" w:color="auto" w:fill="FFFFFF"/>
            <w:vAlign w:val="center"/>
          </w:tcPr>
          <w:p w14:paraId="61CD066C"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117C56FF" w14:textId="77777777" w:rsidR="0090259A" w:rsidRPr="00B310B3" w:rsidRDefault="0090259A" w:rsidP="00345660">
            <w:pPr>
              <w:spacing w:line="260" w:lineRule="exact"/>
              <w:rPr>
                <w:rFonts w:cs="Arial"/>
                <w:sz w:val="16"/>
                <w:szCs w:val="14"/>
              </w:rPr>
            </w:pPr>
          </w:p>
        </w:tc>
      </w:tr>
      <w:tr w:rsidR="0090259A" w:rsidRPr="00B310B3" w14:paraId="08FBBA1A" w14:textId="77777777" w:rsidTr="00CA0DB0">
        <w:trPr>
          <w:trHeight w:hRule="exact" w:val="227"/>
          <w:jc w:val="center"/>
        </w:trPr>
        <w:tc>
          <w:tcPr>
            <w:tcW w:w="2009" w:type="dxa"/>
            <w:vMerge/>
            <w:shd w:val="clear" w:color="auto" w:fill="FFFFFF"/>
            <w:vAlign w:val="center"/>
          </w:tcPr>
          <w:p w14:paraId="3C5E0737" w14:textId="77777777" w:rsidR="0090259A" w:rsidRPr="00B310B3" w:rsidRDefault="0090259A" w:rsidP="00345660">
            <w:pPr>
              <w:spacing w:line="260" w:lineRule="exact"/>
              <w:rPr>
                <w:rFonts w:cs="Arial"/>
                <w:sz w:val="16"/>
                <w:szCs w:val="14"/>
              </w:rPr>
            </w:pPr>
          </w:p>
        </w:tc>
        <w:tc>
          <w:tcPr>
            <w:tcW w:w="1917" w:type="dxa"/>
            <w:shd w:val="clear" w:color="auto" w:fill="FFFFFF"/>
            <w:vAlign w:val="center"/>
          </w:tcPr>
          <w:p w14:paraId="7E479D59" w14:textId="77777777" w:rsidR="0090259A" w:rsidRPr="00B310B3" w:rsidRDefault="0090259A" w:rsidP="00345660">
            <w:pPr>
              <w:spacing w:line="260" w:lineRule="exact"/>
              <w:rPr>
                <w:rFonts w:cs="Arial"/>
                <w:sz w:val="16"/>
                <w:szCs w:val="14"/>
              </w:rPr>
            </w:pPr>
            <w:r w:rsidRPr="00B310B3">
              <w:rPr>
                <w:rFonts w:cs="Arial"/>
                <w:sz w:val="16"/>
                <w:szCs w:val="14"/>
              </w:rPr>
              <w:t>ZD Jesenice</w:t>
            </w:r>
          </w:p>
        </w:tc>
        <w:tc>
          <w:tcPr>
            <w:tcW w:w="1172" w:type="dxa"/>
            <w:shd w:val="clear" w:color="auto" w:fill="FFFFFF"/>
            <w:vAlign w:val="center"/>
          </w:tcPr>
          <w:p w14:paraId="1C6C4D67" w14:textId="77777777" w:rsidR="0090259A" w:rsidRPr="00B310B3" w:rsidRDefault="0090259A" w:rsidP="00345660">
            <w:pPr>
              <w:spacing w:line="260" w:lineRule="exact"/>
              <w:rPr>
                <w:rFonts w:cs="Arial"/>
                <w:sz w:val="16"/>
                <w:szCs w:val="14"/>
              </w:rPr>
            </w:pPr>
            <w:r w:rsidRPr="00B310B3">
              <w:rPr>
                <w:rFonts w:cs="Arial"/>
                <w:sz w:val="16"/>
                <w:szCs w:val="14"/>
              </w:rPr>
              <w:t>0,5</w:t>
            </w:r>
          </w:p>
        </w:tc>
        <w:tc>
          <w:tcPr>
            <w:tcW w:w="1778" w:type="dxa"/>
            <w:vMerge/>
            <w:shd w:val="clear" w:color="auto" w:fill="FFFFFF"/>
            <w:vAlign w:val="center"/>
          </w:tcPr>
          <w:p w14:paraId="01E23BD1" w14:textId="77777777" w:rsidR="0090259A" w:rsidRPr="00B310B3" w:rsidRDefault="0090259A" w:rsidP="00345660">
            <w:pPr>
              <w:spacing w:line="260" w:lineRule="exact"/>
              <w:rPr>
                <w:rFonts w:cs="Arial"/>
                <w:sz w:val="16"/>
                <w:szCs w:val="14"/>
              </w:rPr>
            </w:pPr>
          </w:p>
        </w:tc>
        <w:tc>
          <w:tcPr>
            <w:tcW w:w="1766" w:type="dxa"/>
            <w:vMerge/>
            <w:shd w:val="clear" w:color="auto" w:fill="FFFFFF"/>
            <w:vAlign w:val="center"/>
          </w:tcPr>
          <w:p w14:paraId="5F1D7AC5" w14:textId="77777777" w:rsidR="0090259A" w:rsidRPr="00B310B3" w:rsidRDefault="0090259A" w:rsidP="00345660">
            <w:pPr>
              <w:spacing w:line="260" w:lineRule="exact"/>
              <w:rPr>
                <w:rFonts w:cs="Arial"/>
                <w:sz w:val="16"/>
                <w:szCs w:val="14"/>
              </w:rPr>
            </w:pPr>
          </w:p>
        </w:tc>
      </w:tr>
    </w:tbl>
    <w:p w14:paraId="5CCF86B7" w14:textId="37F950DB" w:rsidR="00CA0DB0" w:rsidRDefault="0090259A" w:rsidP="00B53AFE">
      <w:pPr>
        <w:pStyle w:val="Odstavek"/>
      </w:pPr>
      <w:r>
        <w:t>(2) Ukrep iz prejšnjega odstavka velja od 1. oktobra 2022.</w:t>
      </w:r>
      <w:r w:rsidR="00CA0DB0">
        <w:br w:type="page"/>
      </w:r>
    </w:p>
    <w:p w14:paraId="390EFEE5" w14:textId="77777777" w:rsidR="0090259A" w:rsidRDefault="0090259A" w:rsidP="0090259A">
      <w:pPr>
        <w:pStyle w:val="Odstavek"/>
      </w:pPr>
    </w:p>
    <w:p w14:paraId="155F1326" w14:textId="77777777" w:rsidR="0090259A" w:rsidRDefault="0090259A" w:rsidP="0090259A">
      <w:pPr>
        <w:pStyle w:val="len"/>
      </w:pPr>
      <w:r>
        <w:t>7. člen</w:t>
      </w:r>
    </w:p>
    <w:p w14:paraId="7B6E4695" w14:textId="77777777" w:rsidR="0090259A" w:rsidRDefault="0090259A" w:rsidP="0090259A">
      <w:pPr>
        <w:pStyle w:val="Odstavek"/>
        <w:spacing w:after="400"/>
      </w:pPr>
      <w:r>
        <w:t>(1) Za nujne širitve programov oziroma uvajanje novih terapij pri zdravljenju so načrtovana dodatna sredstva, in sicer:</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1368"/>
        <w:gridCol w:w="2105"/>
        <w:gridCol w:w="2254"/>
      </w:tblGrid>
      <w:tr w:rsidR="0090259A" w:rsidRPr="00B310B3" w14:paraId="77ABD6F7" w14:textId="77777777" w:rsidTr="00CA0DB0">
        <w:trPr>
          <w:trHeight w:hRule="exact" w:val="715"/>
          <w:jc w:val="center"/>
        </w:trPr>
        <w:tc>
          <w:tcPr>
            <w:tcW w:w="3559" w:type="dxa"/>
            <w:vAlign w:val="center"/>
            <w:hideMark/>
          </w:tcPr>
          <w:p w14:paraId="5096C1A8" w14:textId="77777777" w:rsidR="0090259A" w:rsidRPr="00B310B3" w:rsidRDefault="0090259A" w:rsidP="00345660">
            <w:pPr>
              <w:spacing w:line="260" w:lineRule="exact"/>
              <w:rPr>
                <w:rFonts w:cs="Arial"/>
                <w:bCs/>
                <w:sz w:val="16"/>
                <w:szCs w:val="14"/>
              </w:rPr>
            </w:pPr>
            <w:r w:rsidRPr="00B310B3">
              <w:rPr>
                <w:rFonts w:cs="Arial"/>
                <w:bCs/>
                <w:sz w:val="16"/>
                <w:szCs w:val="14"/>
              </w:rPr>
              <w:t>Program</w:t>
            </w:r>
          </w:p>
        </w:tc>
        <w:tc>
          <w:tcPr>
            <w:tcW w:w="1368" w:type="dxa"/>
            <w:noWrap/>
            <w:vAlign w:val="center"/>
            <w:hideMark/>
          </w:tcPr>
          <w:p w14:paraId="429029DD" w14:textId="77777777" w:rsidR="0090259A" w:rsidRPr="00B310B3" w:rsidRDefault="0090259A" w:rsidP="00345660">
            <w:pPr>
              <w:spacing w:line="260" w:lineRule="exact"/>
              <w:rPr>
                <w:rFonts w:cs="Arial"/>
                <w:sz w:val="16"/>
                <w:szCs w:val="14"/>
              </w:rPr>
            </w:pPr>
            <w:r w:rsidRPr="00B310B3">
              <w:rPr>
                <w:rFonts w:cs="Arial"/>
                <w:sz w:val="16"/>
                <w:szCs w:val="14"/>
              </w:rPr>
              <w:t>Izvajalec</w:t>
            </w:r>
          </w:p>
        </w:tc>
        <w:tc>
          <w:tcPr>
            <w:tcW w:w="2105" w:type="dxa"/>
            <w:noWrap/>
            <w:vAlign w:val="center"/>
            <w:hideMark/>
          </w:tcPr>
          <w:p w14:paraId="3AF2C9A6" w14:textId="77777777" w:rsidR="00B310B3" w:rsidRDefault="0090259A" w:rsidP="00CA0DB0">
            <w:pPr>
              <w:jc w:val="center"/>
              <w:rPr>
                <w:rFonts w:cs="Arial"/>
                <w:sz w:val="16"/>
                <w:szCs w:val="14"/>
              </w:rPr>
            </w:pPr>
            <w:r w:rsidRPr="00B310B3">
              <w:rPr>
                <w:rFonts w:cs="Arial"/>
                <w:sz w:val="16"/>
                <w:szCs w:val="14"/>
              </w:rPr>
              <w:t xml:space="preserve">Dodatna sredstva </w:t>
            </w:r>
          </w:p>
          <w:p w14:paraId="2FA2E957" w14:textId="45D9432C" w:rsidR="0090259A" w:rsidRPr="00B310B3" w:rsidRDefault="0090259A" w:rsidP="00CA0DB0">
            <w:pPr>
              <w:jc w:val="center"/>
              <w:rPr>
                <w:rFonts w:cs="Arial"/>
                <w:sz w:val="16"/>
                <w:szCs w:val="14"/>
              </w:rPr>
            </w:pPr>
            <w:r w:rsidRPr="00B310B3">
              <w:rPr>
                <w:rFonts w:cs="Arial"/>
                <w:sz w:val="16"/>
                <w:szCs w:val="14"/>
              </w:rPr>
              <w:t>na letni ravni</w:t>
            </w:r>
          </w:p>
          <w:p w14:paraId="17DE7138" w14:textId="77777777" w:rsidR="0090259A" w:rsidRPr="00B310B3" w:rsidRDefault="0090259A" w:rsidP="00CA0DB0">
            <w:pPr>
              <w:jc w:val="center"/>
              <w:rPr>
                <w:rFonts w:cs="Arial"/>
                <w:sz w:val="16"/>
                <w:szCs w:val="14"/>
              </w:rPr>
            </w:pPr>
            <w:r w:rsidRPr="00B310B3">
              <w:rPr>
                <w:rFonts w:cs="Arial"/>
                <w:sz w:val="16"/>
                <w:szCs w:val="14"/>
              </w:rPr>
              <w:t>(v EUR)</w:t>
            </w:r>
          </w:p>
        </w:tc>
        <w:tc>
          <w:tcPr>
            <w:tcW w:w="2254" w:type="dxa"/>
            <w:noWrap/>
            <w:vAlign w:val="center"/>
            <w:hideMark/>
          </w:tcPr>
          <w:p w14:paraId="4BAA372D" w14:textId="77777777" w:rsidR="0090259A" w:rsidRPr="00B310B3" w:rsidRDefault="0090259A" w:rsidP="00CA0DB0">
            <w:pPr>
              <w:jc w:val="center"/>
              <w:rPr>
                <w:rFonts w:cs="Arial"/>
                <w:sz w:val="16"/>
                <w:szCs w:val="14"/>
              </w:rPr>
            </w:pPr>
            <w:r w:rsidRPr="00B310B3">
              <w:rPr>
                <w:rFonts w:cs="Arial"/>
                <w:sz w:val="16"/>
                <w:szCs w:val="14"/>
              </w:rPr>
              <w:t xml:space="preserve">Dodatna sredstva </w:t>
            </w:r>
            <w:r w:rsidRPr="00B310B3">
              <w:rPr>
                <w:rFonts w:cs="Arial"/>
                <w:sz w:val="16"/>
                <w:szCs w:val="14"/>
              </w:rPr>
              <w:br/>
              <w:t>1. 9.–</w:t>
            </w:r>
            <w:proofErr w:type="gramStart"/>
            <w:r w:rsidRPr="00B310B3">
              <w:rPr>
                <w:rFonts w:cs="Arial"/>
                <w:sz w:val="16"/>
                <w:szCs w:val="14"/>
              </w:rPr>
              <w:t>31. 12. 2022</w:t>
            </w:r>
            <w:proofErr w:type="gramEnd"/>
          </w:p>
          <w:p w14:paraId="5C139E46" w14:textId="77777777" w:rsidR="0090259A" w:rsidRPr="00B310B3" w:rsidRDefault="0090259A" w:rsidP="00CA0DB0">
            <w:pPr>
              <w:jc w:val="center"/>
              <w:rPr>
                <w:rFonts w:cs="Arial"/>
                <w:sz w:val="16"/>
                <w:szCs w:val="14"/>
              </w:rPr>
            </w:pPr>
            <w:r w:rsidRPr="00B310B3">
              <w:rPr>
                <w:rFonts w:cs="Arial"/>
                <w:sz w:val="16"/>
                <w:szCs w:val="14"/>
              </w:rPr>
              <w:t>(v EUR)</w:t>
            </w:r>
          </w:p>
        </w:tc>
      </w:tr>
      <w:tr w:rsidR="0090259A" w:rsidRPr="00B310B3" w14:paraId="748ECF11" w14:textId="77777777" w:rsidTr="00CA0DB0">
        <w:trPr>
          <w:trHeight w:hRule="exact" w:val="428"/>
          <w:jc w:val="center"/>
        </w:trPr>
        <w:tc>
          <w:tcPr>
            <w:tcW w:w="3559" w:type="dxa"/>
            <w:hideMark/>
          </w:tcPr>
          <w:p w14:paraId="1662C562" w14:textId="77777777" w:rsidR="0090259A" w:rsidRPr="00B310B3" w:rsidRDefault="0090259A" w:rsidP="00CA0DB0">
            <w:pPr>
              <w:jc w:val="left"/>
              <w:rPr>
                <w:rFonts w:cs="Arial"/>
                <w:bCs/>
                <w:color w:val="222222"/>
                <w:sz w:val="16"/>
                <w:szCs w:val="14"/>
              </w:rPr>
            </w:pPr>
            <w:r w:rsidRPr="00B310B3">
              <w:rPr>
                <w:rFonts w:cs="Arial"/>
                <w:bCs/>
                <w:sz w:val="16"/>
                <w:szCs w:val="14"/>
              </w:rPr>
              <w:t>Cepivo proti pnevmokoknim okužbam (polisaharidno)</w:t>
            </w:r>
          </w:p>
        </w:tc>
        <w:tc>
          <w:tcPr>
            <w:tcW w:w="1368" w:type="dxa"/>
            <w:noWrap/>
            <w:hideMark/>
          </w:tcPr>
          <w:p w14:paraId="663AF99F" w14:textId="77777777" w:rsidR="0090259A" w:rsidRPr="00B310B3" w:rsidRDefault="0090259A" w:rsidP="00345660">
            <w:pPr>
              <w:spacing w:line="260" w:lineRule="exact"/>
              <w:rPr>
                <w:rFonts w:cs="Arial"/>
                <w:sz w:val="16"/>
                <w:szCs w:val="14"/>
              </w:rPr>
            </w:pPr>
            <w:r w:rsidRPr="00B310B3">
              <w:rPr>
                <w:rFonts w:cs="Arial"/>
                <w:sz w:val="16"/>
                <w:szCs w:val="14"/>
              </w:rPr>
              <w:t>NIJZ</w:t>
            </w:r>
          </w:p>
        </w:tc>
        <w:tc>
          <w:tcPr>
            <w:tcW w:w="2105" w:type="dxa"/>
            <w:noWrap/>
          </w:tcPr>
          <w:p w14:paraId="7F872B5D" w14:textId="77777777" w:rsidR="0090259A" w:rsidRPr="00B310B3" w:rsidRDefault="0090259A" w:rsidP="00B310B3">
            <w:pPr>
              <w:spacing w:line="260" w:lineRule="exact"/>
              <w:jc w:val="right"/>
              <w:rPr>
                <w:rFonts w:cs="Arial"/>
                <w:bCs/>
                <w:color w:val="222222"/>
                <w:sz w:val="16"/>
                <w:szCs w:val="14"/>
              </w:rPr>
            </w:pPr>
            <w:r w:rsidRPr="00B310B3">
              <w:rPr>
                <w:rFonts w:cs="Arial"/>
                <w:bCs/>
                <w:color w:val="222222"/>
                <w:sz w:val="16"/>
                <w:szCs w:val="14"/>
              </w:rPr>
              <w:t>868.591,12</w:t>
            </w:r>
          </w:p>
        </w:tc>
        <w:tc>
          <w:tcPr>
            <w:tcW w:w="2254" w:type="dxa"/>
            <w:noWrap/>
          </w:tcPr>
          <w:p w14:paraId="7F97907C" w14:textId="77777777" w:rsidR="0090259A" w:rsidRPr="00B310B3" w:rsidRDefault="0090259A" w:rsidP="00B310B3">
            <w:pPr>
              <w:spacing w:line="260" w:lineRule="exact"/>
              <w:jc w:val="right"/>
              <w:rPr>
                <w:rFonts w:cs="Arial"/>
                <w:bCs/>
                <w:color w:val="222222"/>
                <w:sz w:val="16"/>
                <w:szCs w:val="14"/>
              </w:rPr>
            </w:pPr>
            <w:r w:rsidRPr="00B310B3">
              <w:rPr>
                <w:rFonts w:cs="Arial"/>
                <w:bCs/>
                <w:color w:val="222222"/>
                <w:sz w:val="16"/>
                <w:szCs w:val="14"/>
              </w:rPr>
              <w:t>289.530,4</w:t>
            </w:r>
          </w:p>
        </w:tc>
      </w:tr>
      <w:tr w:rsidR="0090259A" w:rsidRPr="00B310B3" w14:paraId="1B30FC86" w14:textId="77777777" w:rsidTr="00CA0DB0">
        <w:trPr>
          <w:trHeight w:hRule="exact" w:val="704"/>
          <w:jc w:val="center"/>
        </w:trPr>
        <w:tc>
          <w:tcPr>
            <w:tcW w:w="3559" w:type="dxa"/>
          </w:tcPr>
          <w:p w14:paraId="25AAC047" w14:textId="77777777" w:rsidR="0090259A" w:rsidRPr="00B310B3" w:rsidRDefault="0090259A" w:rsidP="00CA0DB0">
            <w:pPr>
              <w:jc w:val="left"/>
              <w:rPr>
                <w:rFonts w:cs="Arial"/>
                <w:sz w:val="16"/>
                <w:szCs w:val="14"/>
              </w:rPr>
            </w:pPr>
            <w:r w:rsidRPr="00B310B3">
              <w:rPr>
                <w:rFonts w:cs="Arial"/>
                <w:sz w:val="16"/>
                <w:szCs w:val="14"/>
              </w:rPr>
              <w:t>Sredstva za storitev pregled pred cepljenjem in cepljenje odraslih</w:t>
            </w:r>
          </w:p>
        </w:tc>
        <w:tc>
          <w:tcPr>
            <w:tcW w:w="1368" w:type="dxa"/>
            <w:noWrap/>
          </w:tcPr>
          <w:p w14:paraId="229F3C6F" w14:textId="77777777" w:rsidR="0090259A" w:rsidRPr="00B310B3" w:rsidRDefault="0090259A" w:rsidP="00CA0DB0">
            <w:pPr>
              <w:rPr>
                <w:rFonts w:cs="Arial"/>
                <w:sz w:val="16"/>
                <w:szCs w:val="14"/>
              </w:rPr>
            </w:pPr>
            <w:r w:rsidRPr="00B310B3">
              <w:rPr>
                <w:rFonts w:cs="Arial"/>
                <w:sz w:val="16"/>
                <w:szCs w:val="14"/>
              </w:rPr>
              <w:t>Osnovna zdravstvena dejavnost</w:t>
            </w:r>
          </w:p>
        </w:tc>
        <w:tc>
          <w:tcPr>
            <w:tcW w:w="2105" w:type="dxa"/>
            <w:noWrap/>
          </w:tcPr>
          <w:p w14:paraId="51DE4398" w14:textId="77777777" w:rsidR="0090259A" w:rsidRPr="00B310B3" w:rsidRDefault="0090259A" w:rsidP="00B310B3">
            <w:pPr>
              <w:spacing w:line="260" w:lineRule="exact"/>
              <w:jc w:val="right"/>
              <w:rPr>
                <w:rFonts w:cs="Arial"/>
                <w:sz w:val="16"/>
                <w:szCs w:val="14"/>
              </w:rPr>
            </w:pPr>
            <w:r w:rsidRPr="00B310B3">
              <w:rPr>
                <w:rFonts w:cs="Arial"/>
                <w:sz w:val="16"/>
                <w:szCs w:val="14"/>
              </w:rPr>
              <w:t>637.779,05</w:t>
            </w:r>
          </w:p>
        </w:tc>
        <w:tc>
          <w:tcPr>
            <w:tcW w:w="2254" w:type="dxa"/>
            <w:noWrap/>
          </w:tcPr>
          <w:p w14:paraId="56D3ECD1" w14:textId="77777777" w:rsidR="0090259A" w:rsidRPr="00B310B3" w:rsidRDefault="0090259A" w:rsidP="00B310B3">
            <w:pPr>
              <w:spacing w:line="260" w:lineRule="exact"/>
              <w:jc w:val="right"/>
              <w:rPr>
                <w:rFonts w:cs="Arial"/>
                <w:sz w:val="16"/>
                <w:szCs w:val="14"/>
              </w:rPr>
            </w:pPr>
            <w:r w:rsidRPr="00B310B3">
              <w:rPr>
                <w:rFonts w:cs="Arial"/>
                <w:sz w:val="16"/>
                <w:szCs w:val="14"/>
              </w:rPr>
              <w:t>212.593</w:t>
            </w:r>
          </w:p>
        </w:tc>
      </w:tr>
      <w:tr w:rsidR="0090259A" w:rsidRPr="00B310B3" w14:paraId="15B4DA8B" w14:textId="77777777" w:rsidTr="00CE3943">
        <w:trPr>
          <w:trHeight w:hRule="exact" w:val="412"/>
          <w:jc w:val="center"/>
        </w:trPr>
        <w:tc>
          <w:tcPr>
            <w:tcW w:w="3559" w:type="dxa"/>
            <w:hideMark/>
          </w:tcPr>
          <w:p w14:paraId="4154580D" w14:textId="77777777" w:rsidR="0090259A" w:rsidRPr="00B310B3" w:rsidRDefault="0090259A" w:rsidP="00345660">
            <w:pPr>
              <w:spacing w:line="260" w:lineRule="exact"/>
              <w:rPr>
                <w:rFonts w:cs="Arial"/>
                <w:bCs/>
                <w:color w:val="222222"/>
                <w:sz w:val="16"/>
                <w:szCs w:val="14"/>
              </w:rPr>
            </w:pPr>
            <w:r w:rsidRPr="00B310B3">
              <w:rPr>
                <w:rFonts w:cs="Arial"/>
                <w:bCs/>
                <w:sz w:val="16"/>
                <w:szCs w:val="14"/>
              </w:rPr>
              <w:t>Skupaj:</w:t>
            </w:r>
          </w:p>
        </w:tc>
        <w:tc>
          <w:tcPr>
            <w:tcW w:w="1368" w:type="dxa"/>
            <w:noWrap/>
            <w:hideMark/>
          </w:tcPr>
          <w:p w14:paraId="5BC2CD7A" w14:textId="77777777" w:rsidR="0090259A" w:rsidRPr="00B310B3" w:rsidRDefault="0090259A" w:rsidP="00345660">
            <w:pPr>
              <w:spacing w:line="260" w:lineRule="exact"/>
              <w:jc w:val="center"/>
              <w:rPr>
                <w:rFonts w:cs="Arial"/>
                <w:sz w:val="16"/>
                <w:szCs w:val="14"/>
              </w:rPr>
            </w:pPr>
            <w:r w:rsidRPr="00B310B3">
              <w:rPr>
                <w:rFonts w:cs="Arial"/>
                <w:sz w:val="16"/>
                <w:szCs w:val="14"/>
              </w:rPr>
              <w:t> </w:t>
            </w:r>
          </w:p>
        </w:tc>
        <w:tc>
          <w:tcPr>
            <w:tcW w:w="2105" w:type="dxa"/>
            <w:noWrap/>
          </w:tcPr>
          <w:p w14:paraId="5B51AA98" w14:textId="77777777" w:rsidR="0090259A" w:rsidRPr="00B310B3" w:rsidRDefault="0090259A" w:rsidP="00B310B3">
            <w:pPr>
              <w:spacing w:line="260" w:lineRule="exact"/>
              <w:jc w:val="right"/>
              <w:rPr>
                <w:rFonts w:cs="Arial"/>
                <w:sz w:val="16"/>
                <w:szCs w:val="14"/>
              </w:rPr>
            </w:pPr>
            <w:r w:rsidRPr="00B310B3">
              <w:rPr>
                <w:rFonts w:cs="Arial"/>
                <w:sz w:val="16"/>
                <w:szCs w:val="14"/>
              </w:rPr>
              <w:t>1.506.370,17</w:t>
            </w:r>
          </w:p>
        </w:tc>
        <w:tc>
          <w:tcPr>
            <w:tcW w:w="2254" w:type="dxa"/>
            <w:noWrap/>
          </w:tcPr>
          <w:p w14:paraId="670A6AEC" w14:textId="77777777" w:rsidR="0090259A" w:rsidRPr="00B310B3" w:rsidRDefault="0090259A" w:rsidP="00B310B3">
            <w:pPr>
              <w:spacing w:line="260" w:lineRule="exact"/>
              <w:jc w:val="right"/>
              <w:rPr>
                <w:rFonts w:cs="Arial"/>
                <w:sz w:val="16"/>
                <w:szCs w:val="14"/>
              </w:rPr>
            </w:pPr>
            <w:r w:rsidRPr="00B310B3">
              <w:rPr>
                <w:rFonts w:cs="Arial"/>
                <w:sz w:val="16"/>
                <w:szCs w:val="14"/>
              </w:rPr>
              <w:t>502.123,4</w:t>
            </w:r>
          </w:p>
        </w:tc>
      </w:tr>
    </w:tbl>
    <w:p w14:paraId="5630D52B" w14:textId="77777777" w:rsidR="0090259A" w:rsidRDefault="0090259A" w:rsidP="0090259A">
      <w:pPr>
        <w:pStyle w:val="Odstavek"/>
      </w:pPr>
      <w:r>
        <w:t>(2) Ukrep iz prejšnjega odstavka velja od 1. septembra 2022 do 31. decembra 2022.</w:t>
      </w:r>
    </w:p>
    <w:p w14:paraId="2A6EC82F" w14:textId="77777777" w:rsidR="0090259A" w:rsidRDefault="0090259A" w:rsidP="0090259A">
      <w:pPr>
        <w:pStyle w:val="len"/>
      </w:pPr>
      <w:r>
        <w:t>8. člen</w:t>
      </w:r>
    </w:p>
    <w:p w14:paraId="77028CAF" w14:textId="77777777" w:rsidR="0090259A" w:rsidRDefault="0090259A" w:rsidP="0090259A">
      <w:pPr>
        <w:pStyle w:val="Odstavek"/>
      </w:pPr>
      <w:r>
        <w:t xml:space="preserve">(1) Za namen promocije, spremljanja, vodenja in koordiniranja Državnega programa obvladovanja raka (v nadaljnjem besedilu: DPOR) Zavod Onkološkemu inštitutu Ljubljana zagotovi dodatna finančna sredstva v višini 40.000 </w:t>
      </w:r>
      <w:proofErr w:type="spellStart"/>
      <w:r>
        <w:t>eurov</w:t>
      </w:r>
      <w:proofErr w:type="spellEnd"/>
      <w:r>
        <w:t>, in sicer za plače (koordinator DPOR, namestnik koordinatorja DPOR, strokovni sodelavec za komunikacijsko podporo) in materialne stroške (za komunikacijske aktivnosti, organizacijo dogodkov, izobraževanja, službene poti, tiskovine, podjemne pogodbe) za opravljanja dejavnosti koordinacije, spremljanja, spodbujanje in promocije aktivnosti za zmanjševanje bremena raka v državi. Sredstva za to dejavnost so strogo namenska in jih ni mogoče prerazporejati na druge programe.</w:t>
      </w:r>
    </w:p>
    <w:p w14:paraId="37DC1F12" w14:textId="77777777" w:rsidR="0090259A" w:rsidRDefault="0090259A" w:rsidP="0090259A">
      <w:pPr>
        <w:pStyle w:val="Odstavek"/>
      </w:pPr>
      <w:r>
        <w:t>(2) Dejavnost iz prejšnjega odstavka izvaja ožji tim DPOR na Onkološkem inštitutu Ljubljana.</w:t>
      </w:r>
    </w:p>
    <w:p w14:paraId="12A0B502" w14:textId="77777777" w:rsidR="0090259A" w:rsidRDefault="0090259A" w:rsidP="0090259A">
      <w:pPr>
        <w:pStyle w:val="Odstavek"/>
      </w:pPr>
      <w:r>
        <w:t>(3) Način porabe sredstev iz prvega odstavka tega člena se podrobneje opredeli v pogodbi med Onkološkim inštitutom Ljubljana in Zavodom. Onkološki inštitut Ljubljana do 30. aprila 2023 pošlje Zavodu vsebinsko in finančno poročilo o opravljenem delu za leto 2022, in sicer na obrazcu, ki ga določi Zavod.</w:t>
      </w:r>
    </w:p>
    <w:p w14:paraId="3A4CBB6F" w14:textId="77777777" w:rsidR="0090259A" w:rsidRDefault="0090259A" w:rsidP="0090259A">
      <w:pPr>
        <w:pStyle w:val="Odstavek"/>
      </w:pPr>
      <w:r>
        <w:t>(4) Ukrep iz tega člena velja od 1. septembra do 31. decembra 2022.</w:t>
      </w:r>
    </w:p>
    <w:p w14:paraId="2CBF6386" w14:textId="77777777" w:rsidR="0090259A" w:rsidRDefault="0090259A" w:rsidP="0090259A">
      <w:pPr>
        <w:pStyle w:val="len"/>
      </w:pPr>
      <w:r>
        <w:t>9. člen</w:t>
      </w:r>
    </w:p>
    <w:p w14:paraId="4559C91F" w14:textId="77777777" w:rsidR="0090259A" w:rsidRDefault="0090259A" w:rsidP="0090259A">
      <w:pPr>
        <w:pStyle w:val="Odstavek"/>
      </w:pPr>
      <w:r>
        <w:t>(1) Če izvajalec dispanzerja za ženske ne realizira programa preventive, dogovorjenega v pogodbi, sklenjeni z Zavodom, mu Zavod pri končnem letnem obračunu zmanjša plačilo v višini nerealiziranih količnikov za preventivo, ovrednotenih z nizko ceno količnika.</w:t>
      </w:r>
    </w:p>
    <w:p w14:paraId="20858201" w14:textId="77777777" w:rsidR="0090259A" w:rsidRDefault="0090259A" w:rsidP="0090259A">
      <w:pPr>
        <w:pStyle w:val="Odstavek"/>
      </w:pPr>
      <w:r>
        <w:t>(2) Šteje se, da je program preventive pri posameznem izvajalcu dispanzerja za ženske realiziran, če izvajalec doseže vsaj 70 % pogodbeno dogovorjenega programa preventivnih pregledov raka materničnega vratu. Plačilo se izvede v deležu za obvezno zdravstveno zavarovanje.</w:t>
      </w:r>
    </w:p>
    <w:p w14:paraId="3CD92EBD" w14:textId="77777777" w:rsidR="0090259A" w:rsidRDefault="0090259A" w:rsidP="0090259A">
      <w:pPr>
        <w:pStyle w:val="len"/>
      </w:pPr>
      <w:r>
        <w:lastRenderedPageBreak/>
        <w:t>10. člen</w:t>
      </w:r>
    </w:p>
    <w:p w14:paraId="72E2E259" w14:textId="77777777" w:rsidR="0090259A" w:rsidRDefault="0090259A" w:rsidP="0090259A">
      <w:pPr>
        <w:pStyle w:val="Odstavek"/>
      </w:pPr>
      <w:r>
        <w:t>(1) Centrom za duševno zdravje otrok in mladostnikov ter Centrom za duševno zdravje odraslih se program plačuje tako, da je 40 % programa plačanega v pavšalu, preostali del programa pa na podlagi opravljenih storitev.</w:t>
      </w:r>
    </w:p>
    <w:p w14:paraId="05125A6F" w14:textId="5E1DC9E2" w:rsidR="0090259A" w:rsidRDefault="0090259A" w:rsidP="0090259A">
      <w:pPr>
        <w:pStyle w:val="Odstavek"/>
      </w:pPr>
      <w:r>
        <w:t>(2) Za centre iz prejšnjega odstavka, ki so začeli z delovanjem po 1. juliju 2021, velja financiranje v pavšalu eno leto od začetka delovanja centra, nato se program plačuje v skladu s prejšnjim odstavkom.</w:t>
      </w:r>
    </w:p>
    <w:p w14:paraId="37D6DBBD" w14:textId="77777777" w:rsidR="00B53AFE" w:rsidRDefault="00B53AFE" w:rsidP="00B53AFE">
      <w:pPr>
        <w:pStyle w:val="Odstavek"/>
        <w:spacing w:before="0" w:line="120" w:lineRule="auto"/>
        <w:ind w:firstLine="0"/>
        <w:jc w:val="left"/>
      </w:pPr>
    </w:p>
    <w:p w14:paraId="2C240F98" w14:textId="77777777" w:rsidR="0090259A" w:rsidRDefault="0090259A" w:rsidP="0090259A">
      <w:pPr>
        <w:pStyle w:val="len"/>
      </w:pPr>
      <w:r>
        <w:t>11. člen</w:t>
      </w:r>
    </w:p>
    <w:p w14:paraId="7E7707B1" w14:textId="77777777" w:rsidR="0090259A" w:rsidRDefault="0090259A" w:rsidP="0090259A">
      <w:pPr>
        <w:pStyle w:val="Odstavek"/>
        <w:spacing w:after="400"/>
      </w:pPr>
      <w:r>
        <w:t>(1) Cena odvzema brisa na prisotnost virusa SARS-CoV-2 znaša:</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0"/>
        <w:gridCol w:w="4924"/>
        <w:gridCol w:w="1082"/>
        <w:gridCol w:w="1790"/>
      </w:tblGrid>
      <w:tr w:rsidR="0090259A" w:rsidRPr="00B310B3" w14:paraId="2EE9BB9C" w14:textId="77777777" w:rsidTr="00CA0DB0">
        <w:trPr>
          <w:trHeight w:hRule="exact" w:val="670"/>
          <w:jc w:val="center"/>
        </w:trPr>
        <w:tc>
          <w:tcPr>
            <w:tcW w:w="1170" w:type="dxa"/>
            <w:tcMar>
              <w:top w:w="0" w:type="dxa"/>
              <w:left w:w="70" w:type="dxa"/>
              <w:bottom w:w="0" w:type="dxa"/>
              <w:right w:w="70" w:type="dxa"/>
            </w:tcMar>
            <w:vAlign w:val="center"/>
            <w:hideMark/>
          </w:tcPr>
          <w:p w14:paraId="729872B8" w14:textId="5D75F327" w:rsidR="00CA0DB0" w:rsidRDefault="0090259A" w:rsidP="00CA0DB0">
            <w:pPr>
              <w:jc w:val="center"/>
              <w:rPr>
                <w:rFonts w:cs="Arial"/>
                <w:bCs/>
                <w:sz w:val="16"/>
                <w:szCs w:val="14"/>
              </w:rPr>
            </w:pPr>
            <w:r w:rsidRPr="00B310B3">
              <w:rPr>
                <w:rFonts w:cs="Arial"/>
                <w:bCs/>
                <w:sz w:val="16"/>
                <w:szCs w:val="14"/>
              </w:rPr>
              <w:t>Šifra po šifrantu</w:t>
            </w:r>
          </w:p>
          <w:p w14:paraId="376F0A76" w14:textId="4771C4D1" w:rsidR="0090259A" w:rsidRPr="00B310B3" w:rsidRDefault="0090259A" w:rsidP="00CA0DB0">
            <w:pPr>
              <w:jc w:val="center"/>
              <w:rPr>
                <w:rFonts w:cs="Arial"/>
                <w:bCs/>
                <w:sz w:val="16"/>
                <w:szCs w:val="14"/>
              </w:rPr>
            </w:pPr>
            <w:r w:rsidRPr="00B310B3">
              <w:rPr>
                <w:rFonts w:cs="Arial"/>
                <w:bCs/>
                <w:sz w:val="16"/>
                <w:szCs w:val="14"/>
              </w:rPr>
              <w:t>15.28</w:t>
            </w:r>
          </w:p>
        </w:tc>
        <w:tc>
          <w:tcPr>
            <w:tcW w:w="4924" w:type="dxa"/>
            <w:tcMar>
              <w:top w:w="0" w:type="dxa"/>
              <w:left w:w="70" w:type="dxa"/>
              <w:bottom w:w="0" w:type="dxa"/>
              <w:right w:w="70" w:type="dxa"/>
            </w:tcMar>
            <w:vAlign w:val="center"/>
            <w:hideMark/>
          </w:tcPr>
          <w:p w14:paraId="39F11FC4" w14:textId="77777777" w:rsidR="0090259A" w:rsidRPr="00B310B3" w:rsidRDefault="0090259A" w:rsidP="00345660">
            <w:pPr>
              <w:spacing w:line="260" w:lineRule="exact"/>
              <w:rPr>
                <w:rFonts w:cs="Arial"/>
                <w:bCs/>
                <w:sz w:val="16"/>
                <w:szCs w:val="14"/>
              </w:rPr>
            </w:pPr>
            <w:r w:rsidRPr="00B310B3">
              <w:rPr>
                <w:rFonts w:cs="Arial"/>
                <w:bCs/>
                <w:sz w:val="16"/>
                <w:szCs w:val="14"/>
              </w:rPr>
              <w:t>Ločeno zaračunljivi material in preiskave</w:t>
            </w:r>
          </w:p>
        </w:tc>
        <w:tc>
          <w:tcPr>
            <w:tcW w:w="1082" w:type="dxa"/>
            <w:tcMar>
              <w:top w:w="0" w:type="dxa"/>
              <w:left w:w="70" w:type="dxa"/>
              <w:bottom w:w="0" w:type="dxa"/>
              <w:right w:w="70" w:type="dxa"/>
            </w:tcMar>
            <w:vAlign w:val="center"/>
            <w:hideMark/>
          </w:tcPr>
          <w:p w14:paraId="725C864E" w14:textId="77777777" w:rsidR="0090259A" w:rsidRPr="00B310B3" w:rsidRDefault="0090259A" w:rsidP="00CA0DB0">
            <w:pPr>
              <w:jc w:val="center"/>
              <w:rPr>
                <w:rFonts w:cs="Arial"/>
                <w:sz w:val="16"/>
                <w:szCs w:val="14"/>
              </w:rPr>
            </w:pPr>
            <w:r w:rsidRPr="00B310B3">
              <w:rPr>
                <w:rFonts w:cs="Arial"/>
                <w:bCs/>
                <w:sz w:val="16"/>
                <w:szCs w:val="14"/>
              </w:rPr>
              <w:t>Merska enota</w:t>
            </w:r>
          </w:p>
        </w:tc>
        <w:tc>
          <w:tcPr>
            <w:tcW w:w="1790" w:type="dxa"/>
            <w:tcMar>
              <w:top w:w="0" w:type="dxa"/>
              <w:left w:w="70" w:type="dxa"/>
              <w:bottom w:w="0" w:type="dxa"/>
              <w:right w:w="70" w:type="dxa"/>
            </w:tcMar>
            <w:vAlign w:val="center"/>
            <w:hideMark/>
          </w:tcPr>
          <w:p w14:paraId="629951F3" w14:textId="77777777" w:rsidR="0090259A" w:rsidRPr="00B310B3" w:rsidRDefault="0090259A" w:rsidP="00CA0DB0">
            <w:pPr>
              <w:jc w:val="center"/>
              <w:rPr>
                <w:rFonts w:cs="Arial"/>
                <w:bCs/>
                <w:sz w:val="16"/>
                <w:szCs w:val="14"/>
              </w:rPr>
            </w:pPr>
            <w:r w:rsidRPr="00B310B3">
              <w:rPr>
                <w:rFonts w:cs="Arial"/>
                <w:bCs/>
                <w:sz w:val="16"/>
                <w:szCs w:val="14"/>
              </w:rPr>
              <w:t xml:space="preserve">Tekoča cena za mersko enoto </w:t>
            </w:r>
            <w:r w:rsidR="00CE3943" w:rsidRPr="00B310B3">
              <w:rPr>
                <w:rFonts w:cs="Arial"/>
                <w:bCs/>
                <w:sz w:val="16"/>
                <w:szCs w:val="14"/>
              </w:rPr>
              <w:br/>
            </w:r>
            <w:r w:rsidRPr="00B310B3">
              <w:rPr>
                <w:rFonts w:cs="Arial"/>
                <w:bCs/>
                <w:sz w:val="16"/>
                <w:szCs w:val="14"/>
              </w:rPr>
              <w:t>(v EUR)</w:t>
            </w:r>
          </w:p>
        </w:tc>
      </w:tr>
      <w:tr w:rsidR="0090259A" w:rsidRPr="00B310B3" w14:paraId="02178CAF" w14:textId="77777777" w:rsidTr="00CA0DB0">
        <w:trPr>
          <w:trHeight w:hRule="exact" w:val="424"/>
          <w:jc w:val="center"/>
        </w:trPr>
        <w:tc>
          <w:tcPr>
            <w:tcW w:w="1170" w:type="dxa"/>
            <w:tcMar>
              <w:top w:w="0" w:type="dxa"/>
              <w:left w:w="70" w:type="dxa"/>
              <w:bottom w:w="0" w:type="dxa"/>
              <w:right w:w="70" w:type="dxa"/>
            </w:tcMar>
            <w:vAlign w:val="center"/>
            <w:hideMark/>
          </w:tcPr>
          <w:p w14:paraId="57CF0B77" w14:textId="77777777" w:rsidR="0090259A" w:rsidRPr="00B310B3" w:rsidRDefault="0090259A" w:rsidP="00345660">
            <w:pPr>
              <w:spacing w:line="260" w:lineRule="exact"/>
              <w:rPr>
                <w:rFonts w:cs="Arial"/>
                <w:sz w:val="16"/>
                <w:szCs w:val="14"/>
              </w:rPr>
            </w:pPr>
            <w:r w:rsidRPr="00B310B3">
              <w:rPr>
                <w:rFonts w:cs="Arial"/>
                <w:sz w:val="16"/>
                <w:szCs w:val="14"/>
              </w:rPr>
              <w:t> </w:t>
            </w:r>
          </w:p>
        </w:tc>
        <w:tc>
          <w:tcPr>
            <w:tcW w:w="4924" w:type="dxa"/>
            <w:tcMar>
              <w:top w:w="0" w:type="dxa"/>
              <w:left w:w="70" w:type="dxa"/>
              <w:bottom w:w="0" w:type="dxa"/>
              <w:right w:w="70" w:type="dxa"/>
            </w:tcMar>
            <w:vAlign w:val="center"/>
            <w:hideMark/>
          </w:tcPr>
          <w:p w14:paraId="3CF7AC1F" w14:textId="77777777" w:rsidR="0090259A" w:rsidRPr="00B310B3" w:rsidRDefault="0090259A" w:rsidP="00345660">
            <w:pPr>
              <w:spacing w:line="260" w:lineRule="exact"/>
              <w:rPr>
                <w:rFonts w:cs="Arial"/>
                <w:sz w:val="16"/>
                <w:szCs w:val="14"/>
              </w:rPr>
            </w:pPr>
            <w:r w:rsidRPr="00B310B3">
              <w:rPr>
                <w:rFonts w:cs="Arial"/>
                <w:sz w:val="16"/>
                <w:szCs w:val="14"/>
              </w:rPr>
              <w:t>SARS-CoV-2 (COVID-19)</w:t>
            </w:r>
          </w:p>
        </w:tc>
        <w:tc>
          <w:tcPr>
            <w:tcW w:w="1082" w:type="dxa"/>
            <w:tcMar>
              <w:top w:w="0" w:type="dxa"/>
              <w:left w:w="70" w:type="dxa"/>
              <w:bottom w:w="0" w:type="dxa"/>
              <w:right w:w="70" w:type="dxa"/>
            </w:tcMar>
            <w:vAlign w:val="center"/>
            <w:hideMark/>
          </w:tcPr>
          <w:p w14:paraId="0492FD94" w14:textId="77777777" w:rsidR="0090259A" w:rsidRPr="00B310B3" w:rsidRDefault="0090259A" w:rsidP="00345660">
            <w:pPr>
              <w:spacing w:line="260" w:lineRule="exact"/>
              <w:rPr>
                <w:rFonts w:cs="Arial"/>
                <w:sz w:val="16"/>
                <w:szCs w:val="14"/>
              </w:rPr>
            </w:pPr>
            <w:r w:rsidRPr="00B310B3">
              <w:rPr>
                <w:rFonts w:cs="Arial"/>
                <w:sz w:val="16"/>
                <w:szCs w:val="14"/>
              </w:rPr>
              <w:t> </w:t>
            </w:r>
          </w:p>
        </w:tc>
        <w:tc>
          <w:tcPr>
            <w:tcW w:w="1790" w:type="dxa"/>
            <w:tcMar>
              <w:top w:w="0" w:type="dxa"/>
              <w:left w:w="70" w:type="dxa"/>
              <w:bottom w:w="0" w:type="dxa"/>
              <w:right w:w="70" w:type="dxa"/>
            </w:tcMar>
            <w:vAlign w:val="center"/>
            <w:hideMark/>
          </w:tcPr>
          <w:p w14:paraId="1616C1DA" w14:textId="77777777" w:rsidR="0090259A" w:rsidRPr="00B310B3" w:rsidRDefault="0090259A" w:rsidP="00345660">
            <w:pPr>
              <w:spacing w:line="260" w:lineRule="exact"/>
              <w:jc w:val="center"/>
              <w:rPr>
                <w:rFonts w:cs="Arial"/>
                <w:sz w:val="16"/>
                <w:szCs w:val="14"/>
              </w:rPr>
            </w:pPr>
            <w:r w:rsidRPr="00B310B3">
              <w:rPr>
                <w:rFonts w:cs="Arial"/>
                <w:sz w:val="16"/>
                <w:szCs w:val="14"/>
              </w:rPr>
              <w:t> </w:t>
            </w:r>
          </w:p>
        </w:tc>
      </w:tr>
      <w:tr w:rsidR="0090259A" w:rsidRPr="00B310B3" w14:paraId="37F2136F" w14:textId="77777777" w:rsidTr="00CA0DB0">
        <w:trPr>
          <w:trHeight w:hRule="exact" w:val="510"/>
          <w:jc w:val="center"/>
        </w:trPr>
        <w:tc>
          <w:tcPr>
            <w:tcW w:w="1170" w:type="dxa"/>
            <w:tcMar>
              <w:top w:w="0" w:type="dxa"/>
              <w:left w:w="70" w:type="dxa"/>
              <w:bottom w:w="0" w:type="dxa"/>
              <w:right w:w="70" w:type="dxa"/>
            </w:tcMar>
            <w:vAlign w:val="center"/>
            <w:hideMark/>
          </w:tcPr>
          <w:p w14:paraId="5C7CC9CC" w14:textId="77777777" w:rsidR="0090259A" w:rsidRPr="00B310B3" w:rsidRDefault="0090259A" w:rsidP="00CA0DB0">
            <w:pPr>
              <w:spacing w:line="260" w:lineRule="exact"/>
              <w:jc w:val="center"/>
              <w:rPr>
                <w:rFonts w:cs="Arial"/>
                <w:sz w:val="16"/>
                <w:szCs w:val="14"/>
              </w:rPr>
            </w:pPr>
            <w:r w:rsidRPr="00B310B3">
              <w:rPr>
                <w:rFonts w:cs="Arial"/>
                <w:sz w:val="16"/>
                <w:szCs w:val="14"/>
              </w:rPr>
              <w:t>Q0310</w:t>
            </w:r>
          </w:p>
        </w:tc>
        <w:tc>
          <w:tcPr>
            <w:tcW w:w="4924" w:type="dxa"/>
            <w:tcMar>
              <w:top w:w="0" w:type="dxa"/>
              <w:left w:w="70" w:type="dxa"/>
              <w:bottom w:w="0" w:type="dxa"/>
              <w:right w:w="70" w:type="dxa"/>
            </w:tcMar>
            <w:vAlign w:val="center"/>
            <w:hideMark/>
          </w:tcPr>
          <w:p w14:paraId="3A56881B" w14:textId="77777777" w:rsidR="0090259A" w:rsidRPr="00B310B3" w:rsidRDefault="0090259A" w:rsidP="00CA0DB0">
            <w:pPr>
              <w:rPr>
                <w:rFonts w:cs="Arial"/>
                <w:sz w:val="16"/>
                <w:szCs w:val="14"/>
              </w:rPr>
            </w:pPr>
            <w:r w:rsidRPr="00B310B3">
              <w:rPr>
                <w:rFonts w:cs="Arial"/>
                <w:sz w:val="16"/>
                <w:szCs w:val="14"/>
              </w:rPr>
              <w:t>Odvzem brisa za potrditev okužbe z virusom SARS-CoV-2 (odvzem, osebna varovalna oprema in prevoz)</w:t>
            </w:r>
          </w:p>
        </w:tc>
        <w:tc>
          <w:tcPr>
            <w:tcW w:w="1082" w:type="dxa"/>
            <w:tcMar>
              <w:top w:w="0" w:type="dxa"/>
              <w:left w:w="70" w:type="dxa"/>
              <w:bottom w:w="0" w:type="dxa"/>
              <w:right w:w="70" w:type="dxa"/>
            </w:tcMar>
            <w:vAlign w:val="center"/>
            <w:hideMark/>
          </w:tcPr>
          <w:p w14:paraId="24B03AFE" w14:textId="77777777" w:rsidR="0090259A" w:rsidRPr="00B310B3" w:rsidRDefault="0090259A" w:rsidP="00345660">
            <w:pPr>
              <w:spacing w:line="260" w:lineRule="exact"/>
              <w:rPr>
                <w:rFonts w:cs="Arial"/>
                <w:sz w:val="16"/>
                <w:szCs w:val="14"/>
              </w:rPr>
            </w:pPr>
            <w:r w:rsidRPr="00B310B3">
              <w:rPr>
                <w:rFonts w:cs="Arial"/>
                <w:sz w:val="16"/>
                <w:szCs w:val="14"/>
              </w:rPr>
              <w:t>preiskava</w:t>
            </w:r>
          </w:p>
        </w:tc>
        <w:tc>
          <w:tcPr>
            <w:tcW w:w="1790" w:type="dxa"/>
            <w:tcMar>
              <w:top w:w="0" w:type="dxa"/>
              <w:left w:w="70" w:type="dxa"/>
              <w:bottom w:w="0" w:type="dxa"/>
              <w:right w:w="70" w:type="dxa"/>
            </w:tcMar>
            <w:vAlign w:val="center"/>
            <w:hideMark/>
          </w:tcPr>
          <w:p w14:paraId="17D3EB2E" w14:textId="77777777" w:rsidR="0090259A" w:rsidRPr="00B310B3" w:rsidRDefault="0090259A" w:rsidP="00345660">
            <w:pPr>
              <w:spacing w:line="260" w:lineRule="exact"/>
              <w:jc w:val="center"/>
              <w:rPr>
                <w:rFonts w:cs="Arial"/>
                <w:sz w:val="16"/>
                <w:szCs w:val="14"/>
              </w:rPr>
            </w:pPr>
            <w:r w:rsidRPr="00B310B3">
              <w:rPr>
                <w:rFonts w:cs="Arial"/>
                <w:sz w:val="16"/>
                <w:szCs w:val="14"/>
              </w:rPr>
              <w:t>4,00</w:t>
            </w:r>
          </w:p>
        </w:tc>
      </w:tr>
      <w:tr w:rsidR="0090259A" w:rsidRPr="00B310B3" w14:paraId="2B1D942C" w14:textId="77777777" w:rsidTr="00CA0DB0">
        <w:trPr>
          <w:trHeight w:hRule="exact" w:val="454"/>
          <w:jc w:val="center"/>
        </w:trPr>
        <w:tc>
          <w:tcPr>
            <w:tcW w:w="1170" w:type="dxa"/>
            <w:tcMar>
              <w:top w:w="0" w:type="dxa"/>
              <w:left w:w="70" w:type="dxa"/>
              <w:bottom w:w="0" w:type="dxa"/>
              <w:right w:w="70" w:type="dxa"/>
            </w:tcMar>
            <w:vAlign w:val="center"/>
            <w:hideMark/>
          </w:tcPr>
          <w:p w14:paraId="5CE06D5A" w14:textId="77777777" w:rsidR="0090259A" w:rsidRPr="00B310B3" w:rsidRDefault="0090259A" w:rsidP="00CA0DB0">
            <w:pPr>
              <w:spacing w:line="260" w:lineRule="exact"/>
              <w:jc w:val="center"/>
              <w:rPr>
                <w:rFonts w:cs="Arial"/>
                <w:sz w:val="16"/>
                <w:szCs w:val="14"/>
              </w:rPr>
            </w:pPr>
            <w:r w:rsidRPr="00B310B3">
              <w:rPr>
                <w:rFonts w:cs="Arial"/>
                <w:sz w:val="16"/>
                <w:szCs w:val="14"/>
              </w:rPr>
              <w:t>Q0308</w:t>
            </w:r>
          </w:p>
        </w:tc>
        <w:tc>
          <w:tcPr>
            <w:tcW w:w="4924" w:type="dxa"/>
            <w:tcMar>
              <w:top w:w="0" w:type="dxa"/>
              <w:left w:w="70" w:type="dxa"/>
              <w:bottom w:w="0" w:type="dxa"/>
              <w:right w:w="70" w:type="dxa"/>
            </w:tcMar>
            <w:vAlign w:val="center"/>
            <w:hideMark/>
          </w:tcPr>
          <w:p w14:paraId="28D00258" w14:textId="77777777" w:rsidR="0090259A" w:rsidRPr="00B310B3" w:rsidRDefault="0090259A" w:rsidP="00CA0DB0">
            <w:pPr>
              <w:rPr>
                <w:rFonts w:cs="Arial"/>
                <w:sz w:val="16"/>
                <w:szCs w:val="14"/>
              </w:rPr>
            </w:pPr>
            <w:r w:rsidRPr="00B310B3">
              <w:rPr>
                <w:rFonts w:cs="Arial"/>
                <w:sz w:val="16"/>
                <w:szCs w:val="14"/>
              </w:rPr>
              <w:t xml:space="preserve">Neposredno dokazovanje nukleinske kisline SARS-CoV-2 </w:t>
            </w:r>
            <w:r w:rsidRPr="00B310B3">
              <w:rPr>
                <w:rFonts w:cs="Arial"/>
                <w:sz w:val="16"/>
                <w:szCs w:val="14"/>
              </w:rPr>
              <w:br/>
              <w:t>(COVID-19)</w:t>
            </w:r>
          </w:p>
        </w:tc>
        <w:tc>
          <w:tcPr>
            <w:tcW w:w="1082" w:type="dxa"/>
            <w:tcMar>
              <w:top w:w="0" w:type="dxa"/>
              <w:left w:w="70" w:type="dxa"/>
              <w:bottom w:w="0" w:type="dxa"/>
              <w:right w:w="70" w:type="dxa"/>
            </w:tcMar>
            <w:vAlign w:val="center"/>
            <w:hideMark/>
          </w:tcPr>
          <w:p w14:paraId="4EF6ABFB" w14:textId="77777777" w:rsidR="0090259A" w:rsidRPr="00B310B3" w:rsidRDefault="0090259A" w:rsidP="00345660">
            <w:pPr>
              <w:spacing w:line="260" w:lineRule="exact"/>
              <w:rPr>
                <w:rFonts w:cs="Arial"/>
                <w:sz w:val="16"/>
                <w:szCs w:val="14"/>
              </w:rPr>
            </w:pPr>
            <w:r w:rsidRPr="00B310B3">
              <w:rPr>
                <w:rFonts w:cs="Arial"/>
                <w:sz w:val="16"/>
                <w:szCs w:val="14"/>
              </w:rPr>
              <w:t>preiskava</w:t>
            </w:r>
          </w:p>
        </w:tc>
        <w:tc>
          <w:tcPr>
            <w:tcW w:w="1790" w:type="dxa"/>
            <w:tcMar>
              <w:top w:w="0" w:type="dxa"/>
              <w:left w:w="70" w:type="dxa"/>
              <w:bottom w:w="0" w:type="dxa"/>
              <w:right w:w="70" w:type="dxa"/>
            </w:tcMar>
            <w:vAlign w:val="center"/>
            <w:hideMark/>
          </w:tcPr>
          <w:p w14:paraId="683096FF" w14:textId="77777777" w:rsidR="0090259A" w:rsidRPr="00B310B3" w:rsidRDefault="0090259A" w:rsidP="00345660">
            <w:pPr>
              <w:spacing w:line="260" w:lineRule="exact"/>
              <w:jc w:val="center"/>
              <w:rPr>
                <w:rFonts w:cs="Arial"/>
                <w:sz w:val="16"/>
                <w:szCs w:val="14"/>
              </w:rPr>
            </w:pPr>
            <w:r w:rsidRPr="00B310B3">
              <w:rPr>
                <w:rFonts w:cs="Arial"/>
                <w:sz w:val="16"/>
                <w:szCs w:val="14"/>
              </w:rPr>
              <w:t>40,00</w:t>
            </w:r>
          </w:p>
        </w:tc>
      </w:tr>
      <w:tr w:rsidR="0090259A" w:rsidRPr="00B310B3" w14:paraId="4BA250D7" w14:textId="77777777" w:rsidTr="00CA0DB0">
        <w:trPr>
          <w:trHeight w:hRule="exact" w:val="397"/>
          <w:jc w:val="center"/>
        </w:trPr>
        <w:tc>
          <w:tcPr>
            <w:tcW w:w="1170" w:type="dxa"/>
            <w:tcMar>
              <w:top w:w="0" w:type="dxa"/>
              <w:left w:w="70" w:type="dxa"/>
              <w:bottom w:w="0" w:type="dxa"/>
              <w:right w:w="70" w:type="dxa"/>
            </w:tcMar>
            <w:vAlign w:val="center"/>
            <w:hideMark/>
          </w:tcPr>
          <w:p w14:paraId="28CA262A" w14:textId="77777777" w:rsidR="0090259A" w:rsidRPr="00B310B3" w:rsidRDefault="0090259A" w:rsidP="00CA0DB0">
            <w:pPr>
              <w:spacing w:line="260" w:lineRule="exact"/>
              <w:jc w:val="center"/>
              <w:rPr>
                <w:rFonts w:cs="Arial"/>
                <w:sz w:val="16"/>
                <w:szCs w:val="14"/>
              </w:rPr>
            </w:pPr>
            <w:r w:rsidRPr="00B310B3">
              <w:rPr>
                <w:rFonts w:cs="Arial"/>
                <w:sz w:val="16"/>
                <w:szCs w:val="14"/>
              </w:rPr>
              <w:t>Q0323</w:t>
            </w:r>
          </w:p>
        </w:tc>
        <w:tc>
          <w:tcPr>
            <w:tcW w:w="4924" w:type="dxa"/>
            <w:tcMar>
              <w:top w:w="0" w:type="dxa"/>
              <w:left w:w="70" w:type="dxa"/>
              <w:bottom w:w="0" w:type="dxa"/>
              <w:right w:w="70" w:type="dxa"/>
            </w:tcMar>
            <w:vAlign w:val="center"/>
            <w:hideMark/>
          </w:tcPr>
          <w:p w14:paraId="6E26EC5A" w14:textId="77777777" w:rsidR="0090259A" w:rsidRPr="00B310B3" w:rsidRDefault="0090259A" w:rsidP="00345660">
            <w:pPr>
              <w:spacing w:line="260" w:lineRule="exact"/>
              <w:rPr>
                <w:rFonts w:cs="Arial"/>
                <w:sz w:val="16"/>
                <w:szCs w:val="14"/>
              </w:rPr>
            </w:pPr>
            <w:r w:rsidRPr="00B310B3">
              <w:rPr>
                <w:rFonts w:cs="Arial"/>
                <w:sz w:val="16"/>
                <w:szCs w:val="14"/>
              </w:rPr>
              <w:t>Odvzem brisa SARS-CoV-2 in test HAG</w:t>
            </w:r>
          </w:p>
        </w:tc>
        <w:tc>
          <w:tcPr>
            <w:tcW w:w="1082" w:type="dxa"/>
            <w:tcMar>
              <w:top w:w="0" w:type="dxa"/>
              <w:left w:w="70" w:type="dxa"/>
              <w:bottom w:w="0" w:type="dxa"/>
              <w:right w:w="70" w:type="dxa"/>
            </w:tcMar>
            <w:vAlign w:val="center"/>
            <w:hideMark/>
          </w:tcPr>
          <w:p w14:paraId="66462364" w14:textId="77777777" w:rsidR="0090259A" w:rsidRPr="00B310B3" w:rsidRDefault="0090259A" w:rsidP="00345660">
            <w:pPr>
              <w:spacing w:line="260" w:lineRule="exact"/>
              <w:rPr>
                <w:rFonts w:cs="Arial"/>
                <w:sz w:val="16"/>
                <w:szCs w:val="14"/>
              </w:rPr>
            </w:pPr>
            <w:r w:rsidRPr="00B310B3">
              <w:rPr>
                <w:rFonts w:cs="Arial"/>
                <w:sz w:val="16"/>
                <w:szCs w:val="14"/>
              </w:rPr>
              <w:t>preiskava</w:t>
            </w:r>
          </w:p>
        </w:tc>
        <w:tc>
          <w:tcPr>
            <w:tcW w:w="1790" w:type="dxa"/>
            <w:tcMar>
              <w:top w:w="0" w:type="dxa"/>
              <w:left w:w="70" w:type="dxa"/>
              <w:bottom w:w="0" w:type="dxa"/>
              <w:right w:w="70" w:type="dxa"/>
            </w:tcMar>
            <w:vAlign w:val="center"/>
            <w:hideMark/>
          </w:tcPr>
          <w:p w14:paraId="2BC8A658" w14:textId="77777777" w:rsidR="0090259A" w:rsidRPr="00B310B3" w:rsidRDefault="0090259A" w:rsidP="00345660">
            <w:pPr>
              <w:spacing w:line="260" w:lineRule="exact"/>
              <w:jc w:val="center"/>
              <w:rPr>
                <w:rFonts w:cs="Arial"/>
                <w:sz w:val="16"/>
                <w:szCs w:val="14"/>
              </w:rPr>
            </w:pPr>
            <w:r w:rsidRPr="00B310B3">
              <w:rPr>
                <w:rFonts w:cs="Arial"/>
                <w:sz w:val="16"/>
                <w:szCs w:val="14"/>
              </w:rPr>
              <w:t>4,50</w:t>
            </w:r>
          </w:p>
        </w:tc>
      </w:tr>
      <w:tr w:rsidR="0090259A" w:rsidRPr="00B310B3" w14:paraId="0BAEF559" w14:textId="77777777" w:rsidTr="00CA0DB0">
        <w:trPr>
          <w:trHeight w:hRule="exact" w:val="510"/>
          <w:jc w:val="center"/>
        </w:trPr>
        <w:tc>
          <w:tcPr>
            <w:tcW w:w="1170" w:type="dxa"/>
            <w:tcMar>
              <w:top w:w="0" w:type="dxa"/>
              <w:left w:w="70" w:type="dxa"/>
              <w:bottom w:w="0" w:type="dxa"/>
              <w:right w:w="70" w:type="dxa"/>
            </w:tcMar>
            <w:vAlign w:val="center"/>
            <w:hideMark/>
          </w:tcPr>
          <w:p w14:paraId="2D041DE6" w14:textId="77777777" w:rsidR="0090259A" w:rsidRPr="00B310B3" w:rsidRDefault="0090259A" w:rsidP="00CA0DB0">
            <w:pPr>
              <w:spacing w:line="260" w:lineRule="exact"/>
              <w:jc w:val="center"/>
              <w:rPr>
                <w:rFonts w:cs="Arial"/>
                <w:sz w:val="16"/>
                <w:szCs w:val="14"/>
              </w:rPr>
            </w:pPr>
            <w:r w:rsidRPr="00B310B3">
              <w:rPr>
                <w:rFonts w:cs="Arial"/>
                <w:sz w:val="16"/>
                <w:szCs w:val="14"/>
              </w:rPr>
              <w:t>Q0324</w:t>
            </w:r>
          </w:p>
        </w:tc>
        <w:tc>
          <w:tcPr>
            <w:tcW w:w="4924" w:type="dxa"/>
            <w:tcMar>
              <w:top w:w="0" w:type="dxa"/>
              <w:left w:w="70" w:type="dxa"/>
              <w:bottom w:w="0" w:type="dxa"/>
              <w:right w:w="70" w:type="dxa"/>
            </w:tcMar>
            <w:vAlign w:val="center"/>
            <w:hideMark/>
          </w:tcPr>
          <w:p w14:paraId="11FBD993" w14:textId="77777777" w:rsidR="0090259A" w:rsidRPr="00B310B3" w:rsidRDefault="0090259A" w:rsidP="00CA0DB0">
            <w:pPr>
              <w:rPr>
                <w:rFonts w:cs="Arial"/>
                <w:sz w:val="16"/>
                <w:szCs w:val="14"/>
              </w:rPr>
            </w:pPr>
            <w:r w:rsidRPr="00B310B3">
              <w:rPr>
                <w:rFonts w:cs="Arial"/>
                <w:sz w:val="16"/>
                <w:szCs w:val="14"/>
              </w:rPr>
              <w:t xml:space="preserve">Odvzem brisa in </w:t>
            </w:r>
            <w:proofErr w:type="gramStart"/>
            <w:r w:rsidRPr="00B310B3">
              <w:rPr>
                <w:rFonts w:cs="Arial"/>
                <w:sz w:val="16"/>
                <w:szCs w:val="14"/>
              </w:rPr>
              <w:t>enostavni</w:t>
            </w:r>
            <w:proofErr w:type="gramEnd"/>
            <w:r w:rsidRPr="00B310B3">
              <w:rPr>
                <w:rFonts w:cs="Arial"/>
                <w:sz w:val="16"/>
                <w:szCs w:val="14"/>
              </w:rPr>
              <w:t xml:space="preserve"> test na virus SARS-CoV-2 z metodo verižne reakcije s polimerazo*</w:t>
            </w:r>
          </w:p>
        </w:tc>
        <w:tc>
          <w:tcPr>
            <w:tcW w:w="1082" w:type="dxa"/>
            <w:tcMar>
              <w:top w:w="0" w:type="dxa"/>
              <w:left w:w="70" w:type="dxa"/>
              <w:bottom w:w="0" w:type="dxa"/>
              <w:right w:w="70" w:type="dxa"/>
            </w:tcMar>
            <w:vAlign w:val="center"/>
            <w:hideMark/>
          </w:tcPr>
          <w:p w14:paraId="05D687CA" w14:textId="77777777" w:rsidR="0090259A" w:rsidRPr="00B310B3" w:rsidRDefault="0090259A" w:rsidP="00345660">
            <w:pPr>
              <w:spacing w:line="260" w:lineRule="exact"/>
              <w:rPr>
                <w:rFonts w:cs="Arial"/>
                <w:sz w:val="16"/>
                <w:szCs w:val="14"/>
              </w:rPr>
            </w:pPr>
            <w:r w:rsidRPr="00B310B3">
              <w:rPr>
                <w:rFonts w:cs="Arial"/>
                <w:sz w:val="16"/>
                <w:szCs w:val="14"/>
              </w:rPr>
              <w:t>preiskava</w:t>
            </w:r>
          </w:p>
        </w:tc>
        <w:tc>
          <w:tcPr>
            <w:tcW w:w="1790" w:type="dxa"/>
            <w:tcMar>
              <w:top w:w="0" w:type="dxa"/>
              <w:left w:w="70" w:type="dxa"/>
              <w:bottom w:w="0" w:type="dxa"/>
              <w:right w:w="70" w:type="dxa"/>
            </w:tcMar>
            <w:vAlign w:val="center"/>
            <w:hideMark/>
          </w:tcPr>
          <w:p w14:paraId="12240A61" w14:textId="77777777" w:rsidR="0090259A" w:rsidRPr="00B310B3" w:rsidRDefault="0090259A" w:rsidP="00345660">
            <w:pPr>
              <w:spacing w:line="260" w:lineRule="exact"/>
              <w:jc w:val="center"/>
              <w:rPr>
                <w:rFonts w:cs="Arial"/>
                <w:sz w:val="16"/>
                <w:szCs w:val="14"/>
              </w:rPr>
            </w:pPr>
            <w:r w:rsidRPr="00B310B3">
              <w:rPr>
                <w:rFonts w:cs="Arial"/>
                <w:sz w:val="16"/>
                <w:szCs w:val="14"/>
              </w:rPr>
              <w:t>22,00</w:t>
            </w:r>
          </w:p>
        </w:tc>
      </w:tr>
    </w:tbl>
    <w:p w14:paraId="6EC7D428" w14:textId="77777777" w:rsidR="00B53AFE" w:rsidRDefault="00B53AFE" w:rsidP="00CE3943">
      <w:pPr>
        <w:pStyle w:val="Zamaknjenadolobaprvinivo"/>
        <w:spacing w:before="100"/>
        <w:rPr>
          <w:sz w:val="16"/>
          <w:szCs w:val="16"/>
        </w:rPr>
      </w:pPr>
    </w:p>
    <w:p w14:paraId="5206FD18" w14:textId="0322F7A6" w:rsidR="0090259A" w:rsidRDefault="0090259A" w:rsidP="00CE3943">
      <w:pPr>
        <w:pStyle w:val="Zamaknjenadolobaprvinivo"/>
        <w:spacing w:before="100"/>
        <w:rPr>
          <w:sz w:val="16"/>
          <w:szCs w:val="16"/>
        </w:rPr>
      </w:pPr>
      <w:r w:rsidRPr="00CA0DB0">
        <w:rPr>
          <w:sz w:val="16"/>
          <w:szCs w:val="16"/>
        </w:rPr>
        <w:t xml:space="preserve">* Odvzem brisa in </w:t>
      </w:r>
      <w:proofErr w:type="gramStart"/>
      <w:r w:rsidRPr="00CA0DB0">
        <w:rPr>
          <w:sz w:val="16"/>
          <w:szCs w:val="16"/>
        </w:rPr>
        <w:t>enostavni</w:t>
      </w:r>
      <w:proofErr w:type="gramEnd"/>
      <w:r w:rsidRPr="00CA0DB0">
        <w:rPr>
          <w:sz w:val="16"/>
          <w:szCs w:val="16"/>
        </w:rPr>
        <w:t xml:space="preserve"> test na virus SARS-CoV-2 z metodo verižne reakcije s polimerazo lahko zaračunava bolnišnica, ki ima dovoljenje in izvaja enostavne teste na virus SARS-CoV-2 z metodo verižne reakcije s polimerazo.</w:t>
      </w:r>
    </w:p>
    <w:p w14:paraId="6F834B2E" w14:textId="77777777" w:rsidR="00B53AFE" w:rsidRPr="00CA0DB0" w:rsidRDefault="00B53AFE" w:rsidP="00CE3943">
      <w:pPr>
        <w:pStyle w:val="Zamaknjenadolobaprvinivo"/>
        <w:spacing w:before="100"/>
        <w:rPr>
          <w:sz w:val="16"/>
          <w:szCs w:val="16"/>
        </w:rPr>
      </w:pPr>
    </w:p>
    <w:p w14:paraId="71287089" w14:textId="77777777" w:rsidR="0090259A" w:rsidRDefault="0090259A" w:rsidP="0090259A">
      <w:pPr>
        <w:pStyle w:val="Odstavek"/>
      </w:pPr>
      <w:r>
        <w:t>(2) Ukrep iz prejšnjega odstavka velja od 1. septembra 2022.</w:t>
      </w:r>
    </w:p>
    <w:p w14:paraId="37722A69" w14:textId="77777777" w:rsidR="0090259A" w:rsidRDefault="0090259A" w:rsidP="0090259A">
      <w:pPr>
        <w:pStyle w:val="len"/>
      </w:pPr>
      <w:r>
        <w:t>12. člen</w:t>
      </w:r>
    </w:p>
    <w:p w14:paraId="31D1D4B0" w14:textId="77777777" w:rsidR="0090259A" w:rsidRDefault="0090259A" w:rsidP="0090259A">
      <w:pPr>
        <w:pStyle w:val="Odstavek"/>
      </w:pPr>
      <w:r>
        <w:t>(1) Plačilo za opravljeno storitev se izvede le, če izvajalec pri obračunu storitve navede pravilno RIZDDZ številko zdravstvenega delavca. Kontrolo ujemanja na obračunskih dokumentih poslanih RIZDDZ številk zdravstvenih delavcev z zaposlitvami v Registru izvajalcev zdravstvene dejavnosti in delavcev v zdravstvu izvaja Zavod. O spremembi v beleženju Zavod obvesti izvajalce najpozneje do 8. septembra 2022.</w:t>
      </w:r>
    </w:p>
    <w:p w14:paraId="59D935E8" w14:textId="77777777" w:rsidR="0090259A" w:rsidRDefault="0090259A" w:rsidP="0090259A">
      <w:pPr>
        <w:pStyle w:val="Odstavek"/>
      </w:pPr>
      <w:r>
        <w:t>(2) Javni zdravstveni zavodi o opravljenih storitvah po zdravstvenih delavcih mesečno poročajo svetu zavoda, ministrstvu, pristojnemu za zdravje, in uradu, pristojnemu za nadzor, kakovost in investicije v zdravstvu.</w:t>
      </w:r>
    </w:p>
    <w:p w14:paraId="7CF5FA8A" w14:textId="380071F4" w:rsidR="00B310B3" w:rsidRDefault="0090259A" w:rsidP="0090259A">
      <w:pPr>
        <w:pStyle w:val="Odstavek"/>
      </w:pPr>
      <w:r>
        <w:t>(3) Ukrep iz tega člena velja od 1. oktobra 2022.</w:t>
      </w:r>
    </w:p>
    <w:p w14:paraId="0E2B8E58" w14:textId="32FD9BF6" w:rsidR="00CA0DB0" w:rsidRDefault="00CA0DB0">
      <w:pPr>
        <w:overflowPunct/>
        <w:autoSpaceDE/>
        <w:autoSpaceDN/>
        <w:adjustRightInd/>
        <w:jc w:val="left"/>
        <w:textAlignment w:val="auto"/>
        <w:rPr>
          <w:szCs w:val="22"/>
          <w:lang w:val="x-none" w:eastAsia="x-none"/>
        </w:rPr>
      </w:pPr>
      <w:r>
        <w:br w:type="page"/>
      </w:r>
    </w:p>
    <w:p w14:paraId="03998A9B" w14:textId="77777777" w:rsidR="0090259A" w:rsidRDefault="0090259A" w:rsidP="0090259A">
      <w:pPr>
        <w:pStyle w:val="Poglavje"/>
      </w:pPr>
      <w:r>
        <w:t>IV. KONČNI DOLOČBI</w:t>
      </w:r>
    </w:p>
    <w:p w14:paraId="34670333" w14:textId="77777777" w:rsidR="0090259A" w:rsidRDefault="0090259A" w:rsidP="0090259A">
      <w:pPr>
        <w:pStyle w:val="len"/>
      </w:pPr>
      <w:r>
        <w:t>13. člen</w:t>
      </w:r>
    </w:p>
    <w:p w14:paraId="6EF2796A" w14:textId="77777777" w:rsidR="0090259A" w:rsidRDefault="0090259A" w:rsidP="0090259A">
      <w:pPr>
        <w:pStyle w:val="Odstavek"/>
      </w:pPr>
      <w:r>
        <w:t>Z dnem uveljavitve te uredbe prenehata veljati poglavje XIII. Zagotavljanje podatkov za potrebe analiz in planiranja ter četrti odstavek 47. člena Splošnega dogovora za pogodbeno leto 2022.</w:t>
      </w:r>
    </w:p>
    <w:p w14:paraId="6728D90F" w14:textId="77777777" w:rsidR="0090259A" w:rsidRDefault="0090259A" w:rsidP="0090259A">
      <w:pPr>
        <w:pStyle w:val="len"/>
      </w:pPr>
      <w:r>
        <w:t>14. člen</w:t>
      </w:r>
    </w:p>
    <w:p w14:paraId="251BF08A" w14:textId="77777777" w:rsidR="0090259A" w:rsidRDefault="0090259A" w:rsidP="0090259A">
      <w:pPr>
        <w:pStyle w:val="Odstavek"/>
      </w:pPr>
      <w:r>
        <w:t>Ta uredba začne veljati naslednji dan po objavi v Uradnem listu Republike Slovenije in velja do 31. decembra 2022.</w:t>
      </w:r>
    </w:p>
    <w:p w14:paraId="3BE79AAD" w14:textId="77777777" w:rsidR="0090259A" w:rsidRDefault="0090259A" w:rsidP="0090259A">
      <w:pPr>
        <w:pStyle w:val="tevilkanakoncupredpisa"/>
      </w:pPr>
      <w:r>
        <w:t>Št. 00704-307/2022</w:t>
      </w:r>
    </w:p>
    <w:p w14:paraId="3F25AFB2" w14:textId="77777777" w:rsidR="0090259A" w:rsidRDefault="0090259A" w:rsidP="0090259A">
      <w:pPr>
        <w:pStyle w:val="Datumsprejetja"/>
      </w:pPr>
      <w:r>
        <w:t>Ljubljana, dne 25. avgusta 2022</w:t>
      </w:r>
    </w:p>
    <w:p w14:paraId="23D21921" w14:textId="77777777" w:rsidR="0090259A" w:rsidRDefault="0090259A" w:rsidP="0090259A">
      <w:pPr>
        <w:pStyle w:val="EVA"/>
      </w:pPr>
      <w:r>
        <w:t>EVA 2022-2711-0093</w:t>
      </w:r>
    </w:p>
    <w:p w14:paraId="4E1ADC2E" w14:textId="77777777" w:rsidR="0090259A" w:rsidRPr="0090259A" w:rsidRDefault="0090259A" w:rsidP="0090259A">
      <w:pPr>
        <w:pStyle w:val="Podpisnik"/>
      </w:pPr>
      <w:r>
        <w:t>Vlada Republike Slovenije</w:t>
      </w:r>
      <w:r>
        <w:br/>
      </w:r>
      <w:r>
        <w:rPr>
          <w:b/>
          <w:bCs/>
        </w:rPr>
        <w:t>dr. Robert Golob</w:t>
      </w:r>
      <w:r>
        <w:rPr>
          <w:b/>
          <w:bCs/>
        </w:rPr>
        <w:br/>
      </w:r>
      <w:r>
        <w:t>predsednik</w:t>
      </w:r>
    </w:p>
    <w:sectPr w:rsidR="0090259A" w:rsidRPr="0090259A" w:rsidSect="00B3609A">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FEF5" w14:textId="77777777" w:rsidR="00A10CC1" w:rsidRDefault="00A10CC1" w:rsidP="00443548">
      <w:r>
        <w:separator/>
      </w:r>
    </w:p>
  </w:endnote>
  <w:endnote w:type="continuationSeparator" w:id="0">
    <w:p w14:paraId="445DE0E1" w14:textId="77777777" w:rsidR="00A10CC1" w:rsidRDefault="00A10CC1"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BEB4" w14:textId="77777777" w:rsidR="00A10CC1" w:rsidRDefault="00A10CC1" w:rsidP="00443548">
      <w:r>
        <w:separator/>
      </w:r>
    </w:p>
  </w:footnote>
  <w:footnote w:type="continuationSeparator" w:id="0">
    <w:p w14:paraId="4E99D33E" w14:textId="77777777" w:rsidR="00A10CC1" w:rsidRDefault="00A10CC1"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409"/>
    <w:multiLevelType w:val="hybridMultilevel"/>
    <w:tmpl w:val="2DA8FEA0"/>
    <w:lvl w:ilvl="0" w:tplc="E236B1A8">
      <w:start w:val="1"/>
      <w:numFmt w:val="decimal"/>
      <w:lvlText w:val="%1."/>
      <w:lvlJc w:val="left"/>
      <w:pPr>
        <w:tabs>
          <w:tab w:val="num" w:pos="397"/>
        </w:tabs>
        <w:ind w:left="397" w:hanging="397"/>
      </w:pPr>
      <w:rPr>
        <w:rFonts w:hint="default"/>
      </w:rPr>
    </w:lvl>
    <w:lvl w:ilvl="1" w:tplc="04240017">
      <w:start w:val="1"/>
      <w:numFmt w:val="lowerLetter"/>
      <w:lvlText w:val="%2)"/>
      <w:lvlJc w:val="left"/>
      <w:pPr>
        <w:tabs>
          <w:tab w:val="num" w:pos="624"/>
        </w:tabs>
        <w:ind w:left="62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0"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4"/>
  </w:num>
  <w:num w:numId="2">
    <w:abstractNumId w:val="2"/>
  </w:num>
  <w:num w:numId="3">
    <w:abstractNumId w:val="16"/>
  </w:num>
  <w:num w:numId="4">
    <w:abstractNumId w:val="3"/>
  </w:num>
  <w:num w:numId="5">
    <w:abstractNumId w:val="10"/>
  </w:num>
  <w:num w:numId="6">
    <w:abstractNumId w:val="18"/>
  </w:num>
  <w:num w:numId="7">
    <w:abstractNumId w:val="7"/>
  </w:num>
  <w:num w:numId="8">
    <w:abstractNumId w:val="1"/>
  </w:num>
  <w:num w:numId="9">
    <w:abstractNumId w:val="9"/>
  </w:num>
  <w:num w:numId="10">
    <w:abstractNumId w:val="8"/>
  </w:num>
  <w:num w:numId="11">
    <w:abstractNumId w:val="11"/>
  </w:num>
  <w:num w:numId="12">
    <w:abstractNumId w:val="12"/>
  </w:num>
  <w:num w:numId="13">
    <w:abstractNumId w:val="6"/>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13"/>
  </w:num>
  <w:num w:numId="15">
    <w:abstractNumId w:val="4"/>
  </w:num>
  <w:num w:numId="16">
    <w:abstractNumId w:val="15"/>
  </w:num>
  <w:num w:numId="17">
    <w:abstractNumId w:val="17"/>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7"/>
    <w:lvlOverride w:ilvl="0">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8"/>
    <w:lvlOverride w:ilvl="0">
      <w:startOverride w:val="1"/>
    </w:lvlOverride>
  </w:num>
  <w:num w:numId="34">
    <w:abstractNumId w:val="7"/>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36"/>
    <w:rsid w:val="00014217"/>
    <w:rsid w:val="00015D71"/>
    <w:rsid w:val="000175F5"/>
    <w:rsid w:val="00021AB5"/>
    <w:rsid w:val="0003335F"/>
    <w:rsid w:val="00034A34"/>
    <w:rsid w:val="00037EEE"/>
    <w:rsid w:val="0004451F"/>
    <w:rsid w:val="0004576D"/>
    <w:rsid w:val="000510E1"/>
    <w:rsid w:val="00062A89"/>
    <w:rsid w:val="000771DE"/>
    <w:rsid w:val="00095564"/>
    <w:rsid w:val="000A3691"/>
    <w:rsid w:val="000B3169"/>
    <w:rsid w:val="000C4827"/>
    <w:rsid w:val="000D01A7"/>
    <w:rsid w:val="000D0761"/>
    <w:rsid w:val="000E565C"/>
    <w:rsid w:val="000F2990"/>
    <w:rsid w:val="000F58ED"/>
    <w:rsid w:val="00103C64"/>
    <w:rsid w:val="00104ACD"/>
    <w:rsid w:val="001105B3"/>
    <w:rsid w:val="001151C8"/>
    <w:rsid w:val="0011749B"/>
    <w:rsid w:val="00134138"/>
    <w:rsid w:val="001511C7"/>
    <w:rsid w:val="001552BA"/>
    <w:rsid w:val="00165141"/>
    <w:rsid w:val="00165EFF"/>
    <w:rsid w:val="00166709"/>
    <w:rsid w:val="001864CD"/>
    <w:rsid w:val="0019232A"/>
    <w:rsid w:val="00196A7B"/>
    <w:rsid w:val="001B6BB5"/>
    <w:rsid w:val="001B77C8"/>
    <w:rsid w:val="001E1724"/>
    <w:rsid w:val="00202E68"/>
    <w:rsid w:val="00203474"/>
    <w:rsid w:val="00207DB1"/>
    <w:rsid w:val="00241B63"/>
    <w:rsid w:val="00261112"/>
    <w:rsid w:val="00264876"/>
    <w:rsid w:val="002749D7"/>
    <w:rsid w:val="002A74B2"/>
    <w:rsid w:val="002B29AF"/>
    <w:rsid w:val="002C3122"/>
    <w:rsid w:val="002C3281"/>
    <w:rsid w:val="002C42BF"/>
    <w:rsid w:val="002D0896"/>
    <w:rsid w:val="002D6445"/>
    <w:rsid w:val="002E5E24"/>
    <w:rsid w:val="002E62C0"/>
    <w:rsid w:val="003016BF"/>
    <w:rsid w:val="003031B8"/>
    <w:rsid w:val="003155ED"/>
    <w:rsid w:val="00323172"/>
    <w:rsid w:val="00324AE1"/>
    <w:rsid w:val="00332203"/>
    <w:rsid w:val="00334A76"/>
    <w:rsid w:val="00340E88"/>
    <w:rsid w:val="00343AEB"/>
    <w:rsid w:val="00345660"/>
    <w:rsid w:val="00346FB3"/>
    <w:rsid w:val="00357591"/>
    <w:rsid w:val="00376CD2"/>
    <w:rsid w:val="00381D10"/>
    <w:rsid w:val="00390635"/>
    <w:rsid w:val="003A03ED"/>
    <w:rsid w:val="003A3EC6"/>
    <w:rsid w:val="003B3A62"/>
    <w:rsid w:val="003B47A8"/>
    <w:rsid w:val="003C4588"/>
    <w:rsid w:val="00410EA3"/>
    <w:rsid w:val="0041243C"/>
    <w:rsid w:val="00423CF0"/>
    <w:rsid w:val="0042406C"/>
    <w:rsid w:val="00443548"/>
    <w:rsid w:val="00450AC4"/>
    <w:rsid w:val="004563CA"/>
    <w:rsid w:val="0046161D"/>
    <w:rsid w:val="00466C7F"/>
    <w:rsid w:val="00471815"/>
    <w:rsid w:val="00472702"/>
    <w:rsid w:val="0049015E"/>
    <w:rsid w:val="00492506"/>
    <w:rsid w:val="004A1DED"/>
    <w:rsid w:val="004B1217"/>
    <w:rsid w:val="004C44DA"/>
    <w:rsid w:val="004C5226"/>
    <w:rsid w:val="004C6759"/>
    <w:rsid w:val="004D3599"/>
    <w:rsid w:val="004D657D"/>
    <w:rsid w:val="004D78F5"/>
    <w:rsid w:val="004E15E0"/>
    <w:rsid w:val="004E51E6"/>
    <w:rsid w:val="004F06B5"/>
    <w:rsid w:val="004F0A17"/>
    <w:rsid w:val="005117A5"/>
    <w:rsid w:val="00513832"/>
    <w:rsid w:val="00516F80"/>
    <w:rsid w:val="00523EE5"/>
    <w:rsid w:val="00545FE7"/>
    <w:rsid w:val="00553D77"/>
    <w:rsid w:val="005707FE"/>
    <w:rsid w:val="0058694C"/>
    <w:rsid w:val="005A7D43"/>
    <w:rsid w:val="005B2D7D"/>
    <w:rsid w:val="005C2732"/>
    <w:rsid w:val="005C5321"/>
    <w:rsid w:val="005D0D55"/>
    <w:rsid w:val="005D15AB"/>
    <w:rsid w:val="005D4B31"/>
    <w:rsid w:val="005D62A2"/>
    <w:rsid w:val="005F213A"/>
    <w:rsid w:val="005F44C7"/>
    <w:rsid w:val="00603331"/>
    <w:rsid w:val="00606AFE"/>
    <w:rsid w:val="006202C8"/>
    <w:rsid w:val="00621CD8"/>
    <w:rsid w:val="00625CE5"/>
    <w:rsid w:val="00632B36"/>
    <w:rsid w:val="00634A34"/>
    <w:rsid w:val="00640E5C"/>
    <w:rsid w:val="00644D83"/>
    <w:rsid w:val="00645D98"/>
    <w:rsid w:val="00647F36"/>
    <w:rsid w:val="00653C19"/>
    <w:rsid w:val="00681399"/>
    <w:rsid w:val="006836D0"/>
    <w:rsid w:val="006945F9"/>
    <w:rsid w:val="006A4C74"/>
    <w:rsid w:val="006C16AB"/>
    <w:rsid w:val="006D352C"/>
    <w:rsid w:val="006D65A2"/>
    <w:rsid w:val="006E055E"/>
    <w:rsid w:val="006E095E"/>
    <w:rsid w:val="007065A5"/>
    <w:rsid w:val="007304F4"/>
    <w:rsid w:val="0073050A"/>
    <w:rsid w:val="007359F6"/>
    <w:rsid w:val="00740BE7"/>
    <w:rsid w:val="00743D0B"/>
    <w:rsid w:val="00744A8E"/>
    <w:rsid w:val="00746125"/>
    <w:rsid w:val="00754DC8"/>
    <w:rsid w:val="00797225"/>
    <w:rsid w:val="00797B47"/>
    <w:rsid w:val="007A3E2F"/>
    <w:rsid w:val="007B1C11"/>
    <w:rsid w:val="007C01E1"/>
    <w:rsid w:val="007C2E74"/>
    <w:rsid w:val="007D08CA"/>
    <w:rsid w:val="007E0C52"/>
    <w:rsid w:val="007E1A23"/>
    <w:rsid w:val="0082011F"/>
    <w:rsid w:val="00823907"/>
    <w:rsid w:val="00833D61"/>
    <w:rsid w:val="00840F2B"/>
    <w:rsid w:val="008558A0"/>
    <w:rsid w:val="00862EE2"/>
    <w:rsid w:val="00863E99"/>
    <w:rsid w:val="00875209"/>
    <w:rsid w:val="00880D97"/>
    <w:rsid w:val="008913F5"/>
    <w:rsid w:val="008929B8"/>
    <w:rsid w:val="00893316"/>
    <w:rsid w:val="00895C21"/>
    <w:rsid w:val="008B0C8F"/>
    <w:rsid w:val="008B6CB5"/>
    <w:rsid w:val="008D067F"/>
    <w:rsid w:val="008E6C20"/>
    <w:rsid w:val="0090259A"/>
    <w:rsid w:val="00903BA6"/>
    <w:rsid w:val="00904EF5"/>
    <w:rsid w:val="00921884"/>
    <w:rsid w:val="0093041B"/>
    <w:rsid w:val="0094304D"/>
    <w:rsid w:val="00951C7B"/>
    <w:rsid w:val="00956A80"/>
    <w:rsid w:val="00967D6A"/>
    <w:rsid w:val="0097165C"/>
    <w:rsid w:val="009A5F4C"/>
    <w:rsid w:val="009B336C"/>
    <w:rsid w:val="009B4B39"/>
    <w:rsid w:val="009C7CBD"/>
    <w:rsid w:val="009C7DEB"/>
    <w:rsid w:val="009D3061"/>
    <w:rsid w:val="009F22BE"/>
    <w:rsid w:val="00A03E44"/>
    <w:rsid w:val="00A03E7D"/>
    <w:rsid w:val="00A05A23"/>
    <w:rsid w:val="00A10CC1"/>
    <w:rsid w:val="00A14B5C"/>
    <w:rsid w:val="00A229FE"/>
    <w:rsid w:val="00A23CE1"/>
    <w:rsid w:val="00A31972"/>
    <w:rsid w:val="00A32C18"/>
    <w:rsid w:val="00A40E63"/>
    <w:rsid w:val="00A5051F"/>
    <w:rsid w:val="00A769EA"/>
    <w:rsid w:val="00A80061"/>
    <w:rsid w:val="00A91E00"/>
    <w:rsid w:val="00A94866"/>
    <w:rsid w:val="00A95FEE"/>
    <w:rsid w:val="00AA2A81"/>
    <w:rsid w:val="00AA5D87"/>
    <w:rsid w:val="00AB7452"/>
    <w:rsid w:val="00AC6273"/>
    <w:rsid w:val="00AE7827"/>
    <w:rsid w:val="00B17BA2"/>
    <w:rsid w:val="00B310B3"/>
    <w:rsid w:val="00B3609A"/>
    <w:rsid w:val="00B37BB1"/>
    <w:rsid w:val="00B476DB"/>
    <w:rsid w:val="00B53AFE"/>
    <w:rsid w:val="00B549B6"/>
    <w:rsid w:val="00B60DE1"/>
    <w:rsid w:val="00B63627"/>
    <w:rsid w:val="00B71082"/>
    <w:rsid w:val="00B71090"/>
    <w:rsid w:val="00B870B1"/>
    <w:rsid w:val="00B929F8"/>
    <w:rsid w:val="00BA075B"/>
    <w:rsid w:val="00BB2A80"/>
    <w:rsid w:val="00BC122E"/>
    <w:rsid w:val="00BC6765"/>
    <w:rsid w:val="00BF7DAF"/>
    <w:rsid w:val="00C0362A"/>
    <w:rsid w:val="00C15992"/>
    <w:rsid w:val="00C17810"/>
    <w:rsid w:val="00C348EE"/>
    <w:rsid w:val="00C425DB"/>
    <w:rsid w:val="00C42D98"/>
    <w:rsid w:val="00C473A4"/>
    <w:rsid w:val="00C64119"/>
    <w:rsid w:val="00C64ACE"/>
    <w:rsid w:val="00C712B5"/>
    <w:rsid w:val="00C71C33"/>
    <w:rsid w:val="00C83839"/>
    <w:rsid w:val="00CA0DB0"/>
    <w:rsid w:val="00CA5546"/>
    <w:rsid w:val="00CB1E97"/>
    <w:rsid w:val="00CC4502"/>
    <w:rsid w:val="00CC57BF"/>
    <w:rsid w:val="00CD53FB"/>
    <w:rsid w:val="00CE3943"/>
    <w:rsid w:val="00CE7945"/>
    <w:rsid w:val="00CF2D8C"/>
    <w:rsid w:val="00CF584E"/>
    <w:rsid w:val="00D00723"/>
    <w:rsid w:val="00D03E95"/>
    <w:rsid w:val="00D11299"/>
    <w:rsid w:val="00D16332"/>
    <w:rsid w:val="00D4046B"/>
    <w:rsid w:val="00D55E62"/>
    <w:rsid w:val="00D764BC"/>
    <w:rsid w:val="00D83A2D"/>
    <w:rsid w:val="00D97FA1"/>
    <w:rsid w:val="00DA2B63"/>
    <w:rsid w:val="00DA4D0D"/>
    <w:rsid w:val="00DB075B"/>
    <w:rsid w:val="00DC0ABD"/>
    <w:rsid w:val="00DC4AEF"/>
    <w:rsid w:val="00DE17BD"/>
    <w:rsid w:val="00E245DB"/>
    <w:rsid w:val="00E309B3"/>
    <w:rsid w:val="00E32A01"/>
    <w:rsid w:val="00E43C4B"/>
    <w:rsid w:val="00E65820"/>
    <w:rsid w:val="00E734D5"/>
    <w:rsid w:val="00E764FB"/>
    <w:rsid w:val="00E87EDF"/>
    <w:rsid w:val="00EB0369"/>
    <w:rsid w:val="00EB5FEA"/>
    <w:rsid w:val="00EC302F"/>
    <w:rsid w:val="00EC371B"/>
    <w:rsid w:val="00ED3BC1"/>
    <w:rsid w:val="00ED43F6"/>
    <w:rsid w:val="00F013B9"/>
    <w:rsid w:val="00F130A1"/>
    <w:rsid w:val="00F228A1"/>
    <w:rsid w:val="00F276BB"/>
    <w:rsid w:val="00F27D36"/>
    <w:rsid w:val="00F329B6"/>
    <w:rsid w:val="00F4314D"/>
    <w:rsid w:val="00F47AE9"/>
    <w:rsid w:val="00F53275"/>
    <w:rsid w:val="00F668AA"/>
    <w:rsid w:val="00F66CDE"/>
    <w:rsid w:val="00F72D9B"/>
    <w:rsid w:val="00F80BFC"/>
    <w:rsid w:val="00F81D78"/>
    <w:rsid w:val="00F857C8"/>
    <w:rsid w:val="00F95CD9"/>
    <w:rsid w:val="00FA3311"/>
    <w:rsid w:val="00FA628D"/>
    <w:rsid w:val="00FB0FCB"/>
    <w:rsid w:val="00FB3838"/>
    <w:rsid w:val="00FB73B7"/>
    <w:rsid w:val="00FC7142"/>
    <w:rsid w:val="00FE1C60"/>
    <w:rsid w:val="00FE6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229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4"/>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6"/>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1"/>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4"/>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7"/>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3"/>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Komentar-besedilo">
    <w:name w:val="Komentar - besedilo"/>
    <w:basedOn w:val="Navaden"/>
    <w:link w:val="Komentar-besediloZnak"/>
    <w:semiHidden/>
    <w:locked/>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Pa9">
    <w:name w:val="Pa9"/>
    <w:basedOn w:val="Navaden"/>
    <w:next w:val="Navaden"/>
    <w:uiPriority w:val="99"/>
    <w:rsid w:val="002D6445"/>
    <w:pPr>
      <w:overflowPunct/>
      <w:spacing w:line="171" w:lineRule="atLeast"/>
      <w:jc w:val="left"/>
      <w:textAlignment w:val="auto"/>
    </w:pPr>
    <w:rPr>
      <w:rFonts w:eastAsia="Calibri" w:cs="Arial"/>
      <w:sz w:val="24"/>
      <w:szCs w:val="24"/>
    </w:rPr>
  </w:style>
  <w:style w:type="paragraph" w:customStyle="1" w:styleId="Pa3">
    <w:name w:val="Pa3"/>
    <w:basedOn w:val="Navaden"/>
    <w:next w:val="Navaden"/>
    <w:uiPriority w:val="99"/>
    <w:rsid w:val="00C17810"/>
    <w:pPr>
      <w:overflowPunct/>
      <w:spacing w:line="171" w:lineRule="atLeast"/>
      <w:jc w:val="left"/>
      <w:textAlignment w:val="auto"/>
    </w:pPr>
    <w:rPr>
      <w:rFonts w:eastAsia="Calibri" w:cs="Arial"/>
      <w:sz w:val="24"/>
      <w:szCs w:val="24"/>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2"/>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4"/>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5"/>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9"/>
      </w:numPr>
    </w:pPr>
  </w:style>
  <w:style w:type="paragraph" w:customStyle="1" w:styleId="rkovnatokazaodstavkomi">
    <w:name w:val="Črkovna točka za odstavkom (i)"/>
    <w:basedOn w:val="Alineazaodstavkom"/>
    <w:link w:val="rkovnatokazaodstavkomiZnak"/>
    <w:rsid w:val="00FA3311"/>
    <w:pPr>
      <w:numPr>
        <w:numId w:val="13"/>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5"/>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6"/>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7"/>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8"/>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 w:type="paragraph" w:customStyle="1" w:styleId="Pa4">
    <w:name w:val="Pa4"/>
    <w:basedOn w:val="Navaden"/>
    <w:next w:val="Navaden"/>
    <w:uiPriority w:val="99"/>
    <w:rsid w:val="00C17810"/>
    <w:pPr>
      <w:overflowPunct/>
      <w:spacing w:line="201" w:lineRule="atLeast"/>
      <w:jc w:val="left"/>
      <w:textAlignment w:val="auto"/>
    </w:pPr>
    <w:rPr>
      <w:rFonts w:eastAsia="Calibri" w:cs="Arial"/>
      <w:sz w:val="24"/>
      <w:szCs w:val="24"/>
    </w:rPr>
  </w:style>
  <w:style w:type="paragraph" w:customStyle="1" w:styleId="Pa5">
    <w:name w:val="Pa5"/>
    <w:basedOn w:val="Navaden"/>
    <w:next w:val="Navaden"/>
    <w:uiPriority w:val="99"/>
    <w:rsid w:val="00C17810"/>
    <w:pPr>
      <w:overflowPunct/>
      <w:spacing w:line="201" w:lineRule="atLeast"/>
      <w:jc w:val="left"/>
      <w:textAlignment w:val="auto"/>
    </w:pPr>
    <w:rPr>
      <w:rFonts w:eastAsia="Calibri" w:cs="Arial"/>
      <w:sz w:val="24"/>
      <w:szCs w:val="24"/>
    </w:rPr>
  </w:style>
  <w:style w:type="paragraph" w:customStyle="1" w:styleId="Pa15">
    <w:name w:val="Pa15"/>
    <w:basedOn w:val="Navaden"/>
    <w:next w:val="Navaden"/>
    <w:uiPriority w:val="99"/>
    <w:rsid w:val="00C17810"/>
    <w:pPr>
      <w:overflowPunct/>
      <w:spacing w:line="171" w:lineRule="atLeast"/>
      <w:jc w:val="left"/>
      <w:textAlignment w:val="auto"/>
    </w:pPr>
    <w:rPr>
      <w:rFonts w:eastAsia="Calibri" w:cs="Arial"/>
      <w:sz w:val="24"/>
      <w:szCs w:val="24"/>
    </w:rPr>
  </w:style>
  <w:style w:type="paragraph" w:customStyle="1" w:styleId="Pa16">
    <w:name w:val="Pa16"/>
    <w:basedOn w:val="Navaden"/>
    <w:next w:val="Navaden"/>
    <w:uiPriority w:val="99"/>
    <w:rsid w:val="00C17810"/>
    <w:pPr>
      <w:overflowPunct/>
      <w:spacing w:line="171" w:lineRule="atLeast"/>
      <w:jc w:val="left"/>
      <w:textAlignment w:val="auto"/>
    </w:pPr>
    <w:rPr>
      <w:rFonts w:eastAsia="Calibri" w:cs="Arial"/>
      <w:sz w:val="24"/>
      <w:szCs w:val="24"/>
    </w:rPr>
  </w:style>
  <w:style w:type="paragraph" w:customStyle="1" w:styleId="Pa17">
    <w:name w:val="Pa17"/>
    <w:basedOn w:val="Navaden"/>
    <w:next w:val="Navaden"/>
    <w:uiPriority w:val="99"/>
    <w:rsid w:val="00C17810"/>
    <w:pPr>
      <w:overflowPunct/>
      <w:spacing w:line="171" w:lineRule="atLeast"/>
      <w:jc w:val="left"/>
      <w:textAlignment w:val="auto"/>
    </w:pPr>
    <w:rPr>
      <w:rFonts w:eastAsia="Calibri" w:cs="Arial"/>
      <w:sz w:val="24"/>
      <w:szCs w:val="24"/>
    </w:rPr>
  </w:style>
  <w:style w:type="paragraph" w:customStyle="1" w:styleId="Default">
    <w:name w:val="Default"/>
    <w:rsid w:val="00C17810"/>
    <w:pPr>
      <w:autoSpaceDE w:val="0"/>
      <w:autoSpaceDN w:val="0"/>
      <w:adjustRightInd w:val="0"/>
    </w:pPr>
    <w:rPr>
      <w:rFonts w:ascii="Arial" w:hAnsi="Arial" w:cs="Arial"/>
      <w:color w:val="000000"/>
      <w:sz w:val="24"/>
      <w:szCs w:val="24"/>
    </w:rPr>
  </w:style>
  <w:style w:type="paragraph" w:customStyle="1" w:styleId="Pa19">
    <w:name w:val="Pa19"/>
    <w:basedOn w:val="Default"/>
    <w:next w:val="Default"/>
    <w:uiPriority w:val="99"/>
    <w:rsid w:val="00C17810"/>
    <w:pPr>
      <w:spacing w:line="171" w:lineRule="atLeast"/>
    </w:pPr>
    <w:rPr>
      <w:color w:val="auto"/>
    </w:rPr>
  </w:style>
  <w:style w:type="paragraph" w:customStyle="1" w:styleId="Pa18">
    <w:name w:val="Pa18"/>
    <w:basedOn w:val="Default"/>
    <w:next w:val="Default"/>
    <w:uiPriority w:val="99"/>
    <w:rsid w:val="00C17810"/>
    <w:pPr>
      <w:spacing w:line="171" w:lineRule="atLeast"/>
    </w:pPr>
    <w:rPr>
      <w:color w:val="auto"/>
    </w:rPr>
  </w:style>
  <w:style w:type="paragraph" w:customStyle="1" w:styleId="Pa6">
    <w:name w:val="Pa6"/>
    <w:basedOn w:val="Default"/>
    <w:next w:val="Default"/>
    <w:uiPriority w:val="99"/>
    <w:rsid w:val="00C17810"/>
    <w:pPr>
      <w:spacing w:line="171" w:lineRule="atLeast"/>
    </w:pPr>
    <w:rPr>
      <w:color w:val="auto"/>
    </w:rPr>
  </w:style>
  <w:style w:type="paragraph" w:customStyle="1" w:styleId="Pa20">
    <w:name w:val="Pa20"/>
    <w:basedOn w:val="Default"/>
    <w:next w:val="Default"/>
    <w:uiPriority w:val="99"/>
    <w:rsid w:val="0090259A"/>
    <w:pPr>
      <w:spacing w:line="171" w:lineRule="atLeast"/>
    </w:pPr>
    <w:rPr>
      <w:color w:val="auto"/>
    </w:rPr>
  </w:style>
  <w:style w:type="paragraph" w:customStyle="1" w:styleId="Pa31">
    <w:name w:val="Pa31"/>
    <w:basedOn w:val="Default"/>
    <w:next w:val="Default"/>
    <w:uiPriority w:val="99"/>
    <w:rsid w:val="0090259A"/>
    <w:pPr>
      <w:spacing w:line="171" w:lineRule="atLeast"/>
    </w:pPr>
    <w:rPr>
      <w:color w:val="auto"/>
    </w:rPr>
  </w:style>
  <w:style w:type="paragraph" w:customStyle="1" w:styleId="Pa11">
    <w:name w:val="Pa11"/>
    <w:basedOn w:val="Default"/>
    <w:next w:val="Default"/>
    <w:uiPriority w:val="99"/>
    <w:rsid w:val="0090259A"/>
    <w:pPr>
      <w:spacing w:line="1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2950D1-BAF3-4499-AB3D-A5085831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7699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2022-08-30T07:44:00Z</dcterms:created>
  <dcterms:modified xsi:type="dcterms:W3CDTF">2022-08-30T08:38:00Z</dcterms:modified>
</cp:coreProperties>
</file>