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4F849" w14:textId="559A1FB2" w:rsidR="00FC251A" w:rsidRPr="001F05D2" w:rsidRDefault="00FC251A" w:rsidP="00FC251A">
      <w:pPr>
        <w:tabs>
          <w:tab w:val="left" w:pos="7088"/>
        </w:tabs>
        <w:autoSpaceDE w:val="0"/>
        <w:autoSpaceDN w:val="0"/>
        <w:adjustRightInd w:val="0"/>
        <w:spacing w:line="240" w:lineRule="atLeast"/>
        <w:rPr>
          <w:rFonts w:cs="Calibri"/>
        </w:rPr>
      </w:pPr>
      <w:r w:rsidRPr="003B2CA8">
        <w:rPr>
          <w:rFonts w:cs="Calibri"/>
          <w:color w:val="000000"/>
        </w:rPr>
        <w:tab/>
      </w:r>
      <w:r w:rsidR="00530157">
        <w:rPr>
          <w:rFonts w:cs="Calibri"/>
          <w:color w:val="000000"/>
        </w:rPr>
        <w:tab/>
      </w:r>
      <w:r w:rsidRPr="001F05D2">
        <w:rPr>
          <w:rFonts w:cs="Calibri"/>
        </w:rPr>
        <w:t xml:space="preserve">Ljubljana, </w:t>
      </w:r>
      <w:proofErr w:type="gramStart"/>
      <w:r>
        <w:rPr>
          <w:rFonts w:cs="Calibri"/>
        </w:rPr>
        <w:t>19. 1. 2022</w:t>
      </w:r>
      <w:proofErr w:type="gramEnd"/>
    </w:p>
    <w:p w14:paraId="5E75EF65" w14:textId="14BED605" w:rsidR="00FC251A" w:rsidRPr="00E643FB" w:rsidRDefault="00FC251A" w:rsidP="00FC251A">
      <w:pPr>
        <w:tabs>
          <w:tab w:val="left" w:pos="7088"/>
        </w:tabs>
        <w:autoSpaceDE w:val="0"/>
        <w:autoSpaceDN w:val="0"/>
        <w:adjustRightInd w:val="0"/>
        <w:spacing w:line="240" w:lineRule="atLeast"/>
        <w:ind w:left="355"/>
        <w:rPr>
          <w:rFonts w:cs="Calibri"/>
        </w:rPr>
      </w:pPr>
      <w:r w:rsidRPr="001F05D2">
        <w:rPr>
          <w:rFonts w:cs="Calibri"/>
        </w:rPr>
        <w:tab/>
      </w:r>
      <w:r w:rsidR="00530157">
        <w:rPr>
          <w:rFonts w:cs="Calibri"/>
        </w:rPr>
        <w:tab/>
      </w:r>
      <w:r w:rsidRPr="00E643FB">
        <w:rPr>
          <w:rFonts w:cs="Calibri"/>
        </w:rPr>
        <w:t>Znak: 0072-3/2022-DI/2</w:t>
      </w:r>
    </w:p>
    <w:p w14:paraId="6D6DDE97" w14:textId="77777777" w:rsidR="00FC251A" w:rsidRPr="001F05D2" w:rsidRDefault="00FC251A" w:rsidP="00FC251A">
      <w:pPr>
        <w:widowControl w:val="0"/>
        <w:suppressAutoHyphens/>
        <w:rPr>
          <w:rFonts w:cs="Calibri"/>
          <w:b/>
        </w:rPr>
      </w:pPr>
    </w:p>
    <w:p w14:paraId="5C5C9BA2" w14:textId="77777777" w:rsidR="006B21B8" w:rsidRDefault="006B21B8" w:rsidP="00FC251A">
      <w:pPr>
        <w:widowControl w:val="0"/>
        <w:suppressAutoHyphens/>
        <w:rPr>
          <w:rFonts w:cs="Calibri"/>
          <w:b/>
        </w:rPr>
      </w:pPr>
      <w:r w:rsidRPr="00DF2992">
        <w:rPr>
          <w:rFonts w:cs="Calibri"/>
          <w:b/>
        </w:rPr>
        <w:t>Izvajalcem</w:t>
      </w:r>
      <w:r>
        <w:rPr>
          <w:rFonts w:cs="Calibri"/>
          <w:b/>
        </w:rPr>
        <w:t>:</w:t>
      </w:r>
    </w:p>
    <w:p w14:paraId="2B012C16" w14:textId="168927CB" w:rsidR="00FC251A" w:rsidRDefault="006B21B8" w:rsidP="006B21B8">
      <w:pPr>
        <w:pStyle w:val="Odstavekseznama"/>
        <w:widowControl w:val="0"/>
        <w:numPr>
          <w:ilvl w:val="0"/>
          <w:numId w:val="7"/>
        </w:numPr>
        <w:suppressAutoHyphens/>
        <w:rPr>
          <w:rFonts w:asciiTheme="minorHAnsi" w:hAnsiTheme="minorHAnsi" w:cstheme="minorHAnsi"/>
          <w:b/>
          <w:sz w:val="22"/>
          <w:szCs w:val="22"/>
        </w:rPr>
      </w:pPr>
      <w:r w:rsidRPr="006B21B8">
        <w:rPr>
          <w:rFonts w:asciiTheme="minorHAnsi" w:hAnsiTheme="minorHAnsi" w:cstheme="minorHAnsi"/>
          <w:b/>
          <w:sz w:val="22"/>
          <w:szCs w:val="22"/>
        </w:rPr>
        <w:t>lekarniške dejavnosti</w:t>
      </w:r>
    </w:p>
    <w:p w14:paraId="26C842E1" w14:textId="0A3F565D" w:rsidR="00651F71" w:rsidRDefault="00651F71" w:rsidP="006B21B8">
      <w:pPr>
        <w:pStyle w:val="Odstavekseznama"/>
        <w:widowControl w:val="0"/>
        <w:numPr>
          <w:ilvl w:val="0"/>
          <w:numId w:val="7"/>
        </w:numPr>
        <w:suppressAutoHyphens/>
        <w:rPr>
          <w:rFonts w:asciiTheme="minorHAnsi" w:hAnsiTheme="minorHAnsi" w:cstheme="minorHAnsi"/>
          <w:b/>
          <w:sz w:val="22"/>
          <w:szCs w:val="22"/>
        </w:rPr>
      </w:pPr>
      <w:r>
        <w:rPr>
          <w:rFonts w:asciiTheme="minorHAnsi" w:hAnsiTheme="minorHAnsi" w:cstheme="minorHAnsi"/>
          <w:b/>
          <w:sz w:val="22"/>
          <w:szCs w:val="22"/>
        </w:rPr>
        <w:t>ortodontije</w:t>
      </w:r>
    </w:p>
    <w:p w14:paraId="58D5C980" w14:textId="4BA1BAD4" w:rsidR="00651F71" w:rsidRPr="006B21B8" w:rsidRDefault="00651F71" w:rsidP="006B21B8">
      <w:pPr>
        <w:pStyle w:val="Odstavekseznama"/>
        <w:widowControl w:val="0"/>
        <w:numPr>
          <w:ilvl w:val="0"/>
          <w:numId w:val="7"/>
        </w:numPr>
        <w:suppressAutoHyphens/>
        <w:rPr>
          <w:rFonts w:asciiTheme="minorHAnsi" w:hAnsiTheme="minorHAnsi" w:cstheme="minorHAnsi"/>
          <w:b/>
          <w:sz w:val="22"/>
          <w:szCs w:val="22"/>
        </w:rPr>
      </w:pPr>
      <w:r>
        <w:rPr>
          <w:rFonts w:asciiTheme="minorHAnsi" w:hAnsiTheme="minorHAnsi" w:cstheme="minorHAnsi"/>
          <w:b/>
          <w:sz w:val="22"/>
          <w:szCs w:val="22"/>
        </w:rPr>
        <w:t>bolnišnicam</w:t>
      </w:r>
    </w:p>
    <w:p w14:paraId="477A61E2" w14:textId="05892590" w:rsidR="00FC251A" w:rsidRPr="00E01425" w:rsidRDefault="00FC251A" w:rsidP="00FC251A">
      <w:pPr>
        <w:widowControl w:val="0"/>
        <w:suppressAutoHyphens/>
        <w:rPr>
          <w:rFonts w:cs="Calibri"/>
          <w:b/>
        </w:rPr>
      </w:pPr>
    </w:p>
    <w:p w14:paraId="3D09F7CA" w14:textId="77777777" w:rsidR="00FC251A" w:rsidRPr="003B2CA8" w:rsidRDefault="00FC251A" w:rsidP="00FC251A">
      <w:pPr>
        <w:autoSpaceDE w:val="0"/>
        <w:autoSpaceDN w:val="0"/>
        <w:adjustRightInd w:val="0"/>
        <w:rPr>
          <w:rFonts w:cs="Calibri"/>
          <w:b/>
          <w:sz w:val="26"/>
          <w:szCs w:val="26"/>
        </w:rPr>
      </w:pPr>
    </w:p>
    <w:p w14:paraId="4273CE4F" w14:textId="77777777" w:rsidR="00FC251A" w:rsidRPr="003B2CA8" w:rsidRDefault="00FC251A" w:rsidP="00FC251A">
      <w:pPr>
        <w:autoSpaceDE w:val="0"/>
        <w:autoSpaceDN w:val="0"/>
        <w:adjustRightInd w:val="0"/>
        <w:rPr>
          <w:rFonts w:cs="Calibri"/>
          <w:b/>
          <w:sz w:val="26"/>
          <w:szCs w:val="26"/>
        </w:rPr>
      </w:pPr>
      <w:r w:rsidRPr="003B2CA8">
        <w:rPr>
          <w:rFonts w:cs="Calibri"/>
          <w:b/>
          <w:sz w:val="26"/>
          <w:szCs w:val="26"/>
        </w:rPr>
        <w:t>Navodilo o beleženju in obračunavanju zdravstvenih storitev in izdanih materialov</w:t>
      </w:r>
    </w:p>
    <w:p w14:paraId="6FBE82F0" w14:textId="77777777" w:rsidR="00FC251A" w:rsidRPr="003B2CA8" w:rsidRDefault="00FC251A" w:rsidP="00FC251A">
      <w:pPr>
        <w:rPr>
          <w:rFonts w:cs="Calibri"/>
          <w:b/>
          <w:bCs/>
          <w:color w:val="000000"/>
        </w:rPr>
      </w:pPr>
    </w:p>
    <w:p w14:paraId="7AB23402" w14:textId="77777777" w:rsidR="00FC251A" w:rsidRPr="001F05D2" w:rsidRDefault="00FC251A" w:rsidP="00FC251A">
      <w:pPr>
        <w:ind w:left="2086" w:hanging="2086"/>
        <w:rPr>
          <w:rFonts w:cs="Calibri"/>
          <w:b/>
          <w:bCs/>
        </w:rPr>
      </w:pPr>
      <w:r w:rsidRPr="001F05D2">
        <w:rPr>
          <w:rFonts w:cs="Calibri"/>
          <w:b/>
          <w:bCs/>
        </w:rPr>
        <w:t xml:space="preserve">Okrožnica ZAE </w:t>
      </w:r>
      <w:r>
        <w:rPr>
          <w:rFonts w:cs="Calibri"/>
          <w:b/>
          <w:bCs/>
        </w:rPr>
        <w:t>2</w:t>
      </w:r>
      <w:r w:rsidRPr="001F05D2">
        <w:rPr>
          <w:rFonts w:cs="Calibri"/>
          <w:b/>
          <w:bCs/>
        </w:rPr>
        <w:t>/2</w:t>
      </w:r>
      <w:r>
        <w:rPr>
          <w:rFonts w:cs="Calibri"/>
          <w:b/>
          <w:bCs/>
        </w:rPr>
        <w:t>2</w:t>
      </w:r>
      <w:r w:rsidRPr="001F05D2">
        <w:rPr>
          <w:rFonts w:cs="Calibri"/>
          <w:b/>
          <w:bCs/>
        </w:rPr>
        <w:t>: Dopolnitve šifrantov za obračun zdravstvenih storitev</w:t>
      </w:r>
    </w:p>
    <w:p w14:paraId="218236A0" w14:textId="77777777" w:rsidR="00FC251A" w:rsidRPr="003B2CA8" w:rsidRDefault="00FC251A" w:rsidP="00FC251A">
      <w:pPr>
        <w:ind w:left="2296" w:hanging="2296"/>
        <w:rPr>
          <w:rFonts w:cs="Calibri"/>
          <w:b/>
          <w:bCs/>
          <w:color w:val="000000"/>
        </w:rPr>
      </w:pPr>
    </w:p>
    <w:p w14:paraId="1B766262" w14:textId="77777777" w:rsidR="00FC251A" w:rsidRPr="00483132" w:rsidRDefault="00FC251A" w:rsidP="00483132">
      <w:pPr>
        <w:pStyle w:val="Odstavekseznama"/>
        <w:ind w:left="0"/>
        <w:contextualSpacing/>
        <w:jc w:val="both"/>
        <w:rPr>
          <w:rFonts w:ascii="Calibri" w:hAnsi="Calibri" w:cs="Calibri"/>
          <w:b/>
          <w:bCs/>
          <w:color w:val="000000"/>
          <w:sz w:val="22"/>
          <w:szCs w:val="22"/>
        </w:rPr>
      </w:pPr>
      <w:r w:rsidRPr="00483132">
        <w:rPr>
          <w:rFonts w:ascii="Calibri" w:hAnsi="Calibri" w:cs="Calibri"/>
          <w:b/>
          <w:bCs/>
          <w:color w:val="000000"/>
          <w:sz w:val="22"/>
          <w:szCs w:val="22"/>
        </w:rPr>
        <w:t>Okrožnico izdajamo z namenom dopolnitve programske opreme za obračun zdravstvenih storitev. Okrožnica je namenjena poslovodstvu zavodov in koncesionarjev in ni namenjena informiranju zdravnikov in ostalega zdravstvenega osebja.</w:t>
      </w:r>
    </w:p>
    <w:p w14:paraId="27A8FD4E" w14:textId="77777777" w:rsidR="00FC251A" w:rsidRPr="003B2CA8" w:rsidRDefault="00FC251A" w:rsidP="00FC251A">
      <w:pPr>
        <w:widowControl w:val="0"/>
        <w:suppressAutoHyphens/>
        <w:rPr>
          <w:rFonts w:cs="Calibri"/>
        </w:rPr>
      </w:pPr>
    </w:p>
    <w:p w14:paraId="190A598D" w14:textId="4E2A4931" w:rsidR="00FC251A" w:rsidRPr="00483132" w:rsidRDefault="00FC251A" w:rsidP="00483132">
      <w:pPr>
        <w:pStyle w:val="Odstavekseznama"/>
        <w:ind w:left="0"/>
        <w:contextualSpacing/>
        <w:jc w:val="both"/>
        <w:rPr>
          <w:rFonts w:ascii="Calibri" w:hAnsi="Calibri" w:cs="Calibri"/>
          <w:color w:val="000000"/>
          <w:sz w:val="22"/>
          <w:szCs w:val="22"/>
        </w:rPr>
      </w:pPr>
      <w:r w:rsidRPr="00483132">
        <w:rPr>
          <w:rFonts w:ascii="Calibri" w:hAnsi="Calibri" w:cs="Calibri"/>
          <w:color w:val="000000"/>
          <w:sz w:val="22"/>
          <w:szCs w:val="22"/>
        </w:rPr>
        <w:t xml:space="preserve">Podlaga za dopolnitve in spremembe šifrantov za obračun zdravstvenih storitev </w:t>
      </w:r>
      <w:r w:rsidR="001D6DAC">
        <w:rPr>
          <w:rFonts w:ascii="Calibri" w:hAnsi="Calibri" w:cs="Calibri"/>
          <w:color w:val="000000"/>
          <w:sz w:val="22"/>
          <w:szCs w:val="22"/>
        </w:rPr>
        <w:t>sta sprejeta</w:t>
      </w:r>
      <w:r w:rsidRPr="00483132">
        <w:rPr>
          <w:rFonts w:ascii="Calibri" w:hAnsi="Calibri" w:cs="Calibri"/>
          <w:color w:val="000000"/>
          <w:sz w:val="22"/>
          <w:szCs w:val="22"/>
        </w:rPr>
        <w:t xml:space="preserve"> Sklep o dopolnitvi Sklepa o določitvi najvišje višine povračila stroškov za zdravstvene storitve testiranja, stroškov testov HAG in testov HAG za </w:t>
      </w:r>
      <w:proofErr w:type="spellStart"/>
      <w:r w:rsidRPr="00483132">
        <w:rPr>
          <w:rFonts w:ascii="Calibri" w:hAnsi="Calibri" w:cs="Calibri"/>
          <w:color w:val="000000"/>
          <w:sz w:val="22"/>
          <w:szCs w:val="22"/>
        </w:rPr>
        <w:t>samotestiranje</w:t>
      </w:r>
      <w:proofErr w:type="spellEnd"/>
      <w:r w:rsidRPr="00483132">
        <w:rPr>
          <w:rFonts w:ascii="Calibri" w:hAnsi="Calibri" w:cs="Calibri"/>
          <w:color w:val="000000"/>
          <w:sz w:val="22"/>
          <w:szCs w:val="22"/>
        </w:rPr>
        <w:t xml:space="preserve"> na virus SARS-</w:t>
      </w:r>
      <w:proofErr w:type="spellStart"/>
      <w:r w:rsidRPr="00483132">
        <w:rPr>
          <w:rFonts w:ascii="Calibri" w:hAnsi="Calibri" w:cs="Calibri"/>
          <w:color w:val="000000"/>
          <w:sz w:val="22"/>
          <w:szCs w:val="22"/>
        </w:rPr>
        <w:t>CoV</w:t>
      </w:r>
      <w:proofErr w:type="spellEnd"/>
      <w:r w:rsidRPr="00483132">
        <w:rPr>
          <w:rFonts w:ascii="Calibri" w:hAnsi="Calibri" w:cs="Calibri"/>
          <w:color w:val="000000"/>
          <w:sz w:val="22"/>
          <w:szCs w:val="22"/>
        </w:rPr>
        <w:t>-2 ter načinu izstavitve zahtevkov za povračilo teh stroškov, ki je objavljen na spletnih straneh Ministrstva za zdravje</w:t>
      </w:r>
      <w:r w:rsidR="001D6DAC">
        <w:rPr>
          <w:rFonts w:ascii="Calibri" w:hAnsi="Calibri" w:cs="Calibri"/>
          <w:color w:val="000000"/>
          <w:sz w:val="22"/>
          <w:szCs w:val="22"/>
        </w:rPr>
        <w:t>, Aneks št. 1 k Splošnemu dogovoru za pogodbeno leto 2021 ter druge dopolnitve</w:t>
      </w:r>
      <w:r w:rsidRPr="00483132">
        <w:rPr>
          <w:rFonts w:ascii="Calibri" w:hAnsi="Calibri" w:cs="Calibri"/>
          <w:color w:val="000000"/>
          <w:sz w:val="22"/>
          <w:szCs w:val="22"/>
        </w:rPr>
        <w:t>.</w:t>
      </w:r>
    </w:p>
    <w:p w14:paraId="3D1A4340" w14:textId="77777777" w:rsidR="00FC251A" w:rsidRPr="00483132" w:rsidRDefault="00FC251A" w:rsidP="00483132">
      <w:pPr>
        <w:pStyle w:val="Odstavekseznama"/>
        <w:ind w:left="0"/>
        <w:contextualSpacing/>
        <w:jc w:val="both"/>
        <w:rPr>
          <w:rFonts w:ascii="Calibri" w:hAnsi="Calibri" w:cs="Calibri"/>
          <w:color w:val="000000"/>
          <w:sz w:val="22"/>
          <w:szCs w:val="22"/>
        </w:rPr>
      </w:pPr>
    </w:p>
    <w:p w14:paraId="3392BD9A" w14:textId="77777777" w:rsidR="00FC251A" w:rsidRPr="00483132" w:rsidRDefault="00FC251A" w:rsidP="00483132">
      <w:pPr>
        <w:pStyle w:val="Odstavekseznama"/>
        <w:ind w:left="0"/>
        <w:contextualSpacing/>
        <w:jc w:val="both"/>
        <w:rPr>
          <w:rFonts w:ascii="Calibri" w:hAnsi="Calibri" w:cs="Calibri"/>
          <w:color w:val="000000"/>
          <w:sz w:val="22"/>
          <w:szCs w:val="22"/>
        </w:rPr>
      </w:pPr>
      <w:r w:rsidRPr="00483132">
        <w:rPr>
          <w:rFonts w:ascii="Calibri" w:hAnsi="Calibri" w:cs="Calibri"/>
          <w:color w:val="000000"/>
          <w:sz w:val="22"/>
          <w:szCs w:val="22"/>
        </w:rPr>
        <w:t>Spremembe in dopolnitve so oštevilčene, pri vsaki točki pa je navedena kontaktna oseba za vsebinska vprašanja. V okrožnici je zajeta naslednja vsebina:</w:t>
      </w:r>
    </w:p>
    <w:p w14:paraId="1F807E23" w14:textId="77777777" w:rsidR="00FC251A" w:rsidRPr="003B2CA8" w:rsidRDefault="00FC251A" w:rsidP="00FC251A">
      <w:pPr>
        <w:rPr>
          <w:rFonts w:cs="Calibri"/>
          <w:color w:val="FFFFFF"/>
          <w:sz w:val="8"/>
        </w:rPr>
      </w:pPr>
      <w:r w:rsidRPr="003B2CA8">
        <w:rPr>
          <w:rFonts w:cs="Calibri"/>
          <w:color w:val="FFFFFF"/>
          <w:sz w:val="8"/>
        </w:rPr>
        <w:t>Kazalo vsebine</w:t>
      </w:r>
    </w:p>
    <w:p w14:paraId="6CA62E19" w14:textId="55D1842F" w:rsidR="001D6DAC" w:rsidRDefault="00FC251A">
      <w:pPr>
        <w:pStyle w:val="Kazalovsebine1"/>
        <w:rPr>
          <w:rFonts w:asciiTheme="minorHAnsi" w:eastAsiaTheme="minorEastAsia" w:hAnsiTheme="minorHAnsi" w:cstheme="minorBidi"/>
          <w:noProof/>
          <w:szCs w:val="22"/>
        </w:rPr>
      </w:pPr>
      <w:r w:rsidRPr="003B2CA8">
        <w:rPr>
          <w:rStyle w:val="Hiperpovezava"/>
          <w:rFonts w:cs="Calibri"/>
        </w:rPr>
        <w:fldChar w:fldCharType="begin"/>
      </w:r>
      <w:r w:rsidRPr="003B2CA8">
        <w:rPr>
          <w:rStyle w:val="Hiperpovezava"/>
          <w:rFonts w:cs="Calibri"/>
        </w:rPr>
        <w:instrText xml:space="preserve"> TOC \o "1-3" \n \h \z \u </w:instrText>
      </w:r>
      <w:r w:rsidRPr="003B2CA8">
        <w:rPr>
          <w:rStyle w:val="Hiperpovezava"/>
          <w:rFonts w:cs="Calibri"/>
        </w:rPr>
        <w:fldChar w:fldCharType="separate"/>
      </w:r>
      <w:hyperlink w:anchor="_Toc93467000" w:history="1">
        <w:r w:rsidR="001D6DAC" w:rsidRPr="00DA204E">
          <w:rPr>
            <w:rStyle w:val="Hiperpovezava"/>
            <w:rFonts w:cs="Calibri"/>
            <w:noProof/>
          </w:rPr>
          <w:t>1.</w:t>
        </w:r>
        <w:r w:rsidR="001D6DAC">
          <w:rPr>
            <w:rFonts w:asciiTheme="minorHAnsi" w:eastAsiaTheme="minorEastAsia" w:hAnsiTheme="minorHAnsi" w:cstheme="minorBidi"/>
            <w:noProof/>
            <w:szCs w:val="22"/>
          </w:rPr>
          <w:tab/>
        </w:r>
        <w:r w:rsidR="001D6DAC" w:rsidRPr="00DA204E">
          <w:rPr>
            <w:rStyle w:val="Hiperpovezava"/>
            <w:rFonts w:cs="Calibri"/>
            <w:noProof/>
          </w:rPr>
          <w:t>Lekarne – izdaja 20 testov HAG za samotestiranje učencev, dijakov, študentov</w:t>
        </w:r>
      </w:hyperlink>
    </w:p>
    <w:p w14:paraId="3E435A03" w14:textId="7186D70E" w:rsidR="001D6DAC" w:rsidRDefault="00AE265E">
      <w:pPr>
        <w:pStyle w:val="Kazalovsebine1"/>
        <w:rPr>
          <w:rFonts w:asciiTheme="minorHAnsi" w:eastAsiaTheme="minorEastAsia" w:hAnsiTheme="minorHAnsi" w:cstheme="minorBidi"/>
          <w:noProof/>
          <w:szCs w:val="22"/>
        </w:rPr>
      </w:pPr>
      <w:hyperlink w:anchor="_Toc93467001" w:history="1">
        <w:r w:rsidR="001D6DAC" w:rsidRPr="00DA204E">
          <w:rPr>
            <w:rStyle w:val="Hiperpovezava"/>
            <w:rFonts w:cs="Calibri"/>
            <w:noProof/>
          </w:rPr>
          <w:t>2.</w:t>
        </w:r>
        <w:r w:rsidR="001D6DAC">
          <w:rPr>
            <w:rFonts w:asciiTheme="minorHAnsi" w:eastAsiaTheme="minorEastAsia" w:hAnsiTheme="minorHAnsi" w:cstheme="minorBidi"/>
            <w:noProof/>
            <w:szCs w:val="22"/>
          </w:rPr>
          <w:tab/>
        </w:r>
        <w:r w:rsidR="001D6DAC" w:rsidRPr="00DA204E">
          <w:rPr>
            <w:rStyle w:val="Hiperpovezava"/>
            <w:rFonts w:cs="Calibri"/>
            <w:noProof/>
          </w:rPr>
          <w:t>Planiranje patohistoloških in citoloških preiskav v bolnišnicah</w:t>
        </w:r>
      </w:hyperlink>
    </w:p>
    <w:p w14:paraId="38E0F257" w14:textId="45C70DEC" w:rsidR="001D6DAC" w:rsidRDefault="00AE265E">
      <w:pPr>
        <w:pStyle w:val="Kazalovsebine1"/>
        <w:rPr>
          <w:rFonts w:asciiTheme="minorHAnsi" w:eastAsiaTheme="minorEastAsia" w:hAnsiTheme="minorHAnsi" w:cstheme="minorBidi"/>
          <w:noProof/>
          <w:szCs w:val="22"/>
        </w:rPr>
      </w:pPr>
      <w:hyperlink w:anchor="_Toc93467002" w:history="1">
        <w:r w:rsidR="001D6DAC" w:rsidRPr="00DA204E">
          <w:rPr>
            <w:rStyle w:val="Hiperpovezava"/>
            <w:rFonts w:cs="Calibri"/>
            <w:noProof/>
          </w:rPr>
          <w:t>3.</w:t>
        </w:r>
        <w:r w:rsidR="001D6DAC">
          <w:rPr>
            <w:rFonts w:asciiTheme="minorHAnsi" w:eastAsiaTheme="minorEastAsia" w:hAnsiTheme="minorHAnsi" w:cstheme="minorBidi"/>
            <w:noProof/>
            <w:szCs w:val="22"/>
          </w:rPr>
          <w:tab/>
        </w:r>
        <w:r w:rsidR="001D6DAC" w:rsidRPr="00DA204E">
          <w:rPr>
            <w:rStyle w:val="Hiperpovezava"/>
            <w:rFonts w:cs="Calibri"/>
            <w:noProof/>
          </w:rPr>
          <w:t>Ortodontija – zamik uvedbe spremljanja podatkov o zdravstvenih listinah</w:t>
        </w:r>
      </w:hyperlink>
    </w:p>
    <w:p w14:paraId="35963FAA" w14:textId="28BDD7DC" w:rsidR="00FC251A" w:rsidRDefault="00FC251A" w:rsidP="00FC251A">
      <w:pPr>
        <w:pStyle w:val="Kazalovsebine1"/>
        <w:ind w:left="0" w:firstLine="0"/>
        <w:rPr>
          <w:rStyle w:val="Hiperpovezava"/>
          <w:rFonts w:cs="Calibri"/>
        </w:rPr>
      </w:pPr>
      <w:r w:rsidRPr="003B2CA8">
        <w:rPr>
          <w:rStyle w:val="Hiperpovezava"/>
          <w:rFonts w:cs="Calibri"/>
        </w:rPr>
        <w:fldChar w:fldCharType="end"/>
      </w:r>
    </w:p>
    <w:p w14:paraId="2B149F96" w14:textId="3E8D8E51" w:rsidR="001D6DAC" w:rsidRPr="00483132" w:rsidRDefault="001D6DAC" w:rsidP="001D6DAC">
      <w:pPr>
        <w:pStyle w:val="Odstavekseznama"/>
        <w:ind w:left="0"/>
        <w:contextualSpacing/>
        <w:jc w:val="both"/>
        <w:rPr>
          <w:rFonts w:ascii="Calibri" w:hAnsi="Calibri" w:cs="Calibri"/>
          <w:color w:val="000000"/>
          <w:sz w:val="22"/>
          <w:szCs w:val="22"/>
        </w:rPr>
      </w:pPr>
      <w:r w:rsidRPr="00483132">
        <w:rPr>
          <w:rFonts w:ascii="Calibri" w:hAnsi="Calibri" w:cs="Calibri"/>
          <w:color w:val="000000"/>
          <w:sz w:val="22"/>
          <w:szCs w:val="22"/>
        </w:rPr>
        <w:t xml:space="preserve">Sklep o dopolnitvi Sklepa o določitvi najvišje višine povračila stroškov za zdravstvene storitve testiranja, stroškov testov HAG in testov HAG za </w:t>
      </w:r>
      <w:proofErr w:type="spellStart"/>
      <w:r w:rsidRPr="00483132">
        <w:rPr>
          <w:rFonts w:ascii="Calibri" w:hAnsi="Calibri" w:cs="Calibri"/>
          <w:color w:val="000000"/>
          <w:sz w:val="22"/>
          <w:szCs w:val="22"/>
        </w:rPr>
        <w:t>samotestiranje</w:t>
      </w:r>
      <w:proofErr w:type="spellEnd"/>
      <w:r w:rsidRPr="00483132">
        <w:rPr>
          <w:rFonts w:ascii="Calibri" w:hAnsi="Calibri" w:cs="Calibri"/>
          <w:color w:val="000000"/>
          <w:sz w:val="22"/>
          <w:szCs w:val="22"/>
        </w:rPr>
        <w:t xml:space="preserve"> na virus SARS-</w:t>
      </w:r>
      <w:proofErr w:type="spellStart"/>
      <w:r w:rsidRPr="00483132">
        <w:rPr>
          <w:rFonts w:ascii="Calibri" w:hAnsi="Calibri" w:cs="Calibri"/>
          <w:color w:val="000000"/>
          <w:sz w:val="22"/>
          <w:szCs w:val="22"/>
        </w:rPr>
        <w:t>CoV</w:t>
      </w:r>
      <w:proofErr w:type="spellEnd"/>
      <w:r w:rsidRPr="00483132">
        <w:rPr>
          <w:rFonts w:ascii="Calibri" w:hAnsi="Calibri" w:cs="Calibri"/>
          <w:color w:val="000000"/>
          <w:sz w:val="22"/>
          <w:szCs w:val="22"/>
        </w:rPr>
        <w:t>-2 ter načinu izstavitve zahtevkov za povračilo teh stroškov je objavljen na spletnih straneh Ministrstva za zdravje</w:t>
      </w:r>
      <w:r>
        <w:rPr>
          <w:rFonts w:ascii="Calibri" w:hAnsi="Calibri" w:cs="Calibri"/>
          <w:color w:val="000000"/>
          <w:sz w:val="22"/>
          <w:szCs w:val="22"/>
        </w:rPr>
        <w:t>, Aneks št. 1 k Splošnemu dogovoru</w:t>
      </w:r>
      <w:proofErr w:type="gramStart"/>
      <w:r>
        <w:rPr>
          <w:rFonts w:ascii="Calibri" w:hAnsi="Calibri" w:cs="Calibri"/>
          <w:color w:val="000000"/>
          <w:sz w:val="22"/>
          <w:szCs w:val="22"/>
        </w:rPr>
        <w:t xml:space="preserve"> za</w:t>
      </w:r>
      <w:proofErr w:type="gramEnd"/>
      <w:r>
        <w:rPr>
          <w:rFonts w:ascii="Calibri" w:hAnsi="Calibri" w:cs="Calibri"/>
          <w:color w:val="000000"/>
          <w:sz w:val="22"/>
          <w:szCs w:val="22"/>
        </w:rPr>
        <w:t xml:space="preserve"> pogodbeno leto 2021 pa na spletni strani Zavoda</w:t>
      </w:r>
      <w:r w:rsidRPr="00483132">
        <w:rPr>
          <w:rFonts w:ascii="Calibri" w:hAnsi="Calibri" w:cs="Calibri"/>
          <w:color w:val="000000"/>
          <w:sz w:val="22"/>
          <w:szCs w:val="22"/>
        </w:rPr>
        <w:t>.</w:t>
      </w:r>
    </w:p>
    <w:p w14:paraId="601522D0" w14:textId="77777777" w:rsidR="00FC251A" w:rsidRDefault="00FC251A" w:rsidP="00FC251A">
      <w:pPr>
        <w:widowControl w:val="0"/>
        <w:suppressAutoHyphens/>
        <w:rPr>
          <w:rFonts w:cs="Calibri"/>
          <w:color w:val="000000"/>
        </w:rPr>
      </w:pPr>
    </w:p>
    <w:p w14:paraId="05370703" w14:textId="77777777" w:rsidR="001D6DAC" w:rsidRDefault="001D6DAC" w:rsidP="00FC251A">
      <w:pPr>
        <w:widowControl w:val="0"/>
        <w:suppressAutoHyphens/>
        <w:rPr>
          <w:rFonts w:cs="Calibri"/>
          <w:color w:val="000000"/>
        </w:rPr>
      </w:pPr>
    </w:p>
    <w:p w14:paraId="25E57F66" w14:textId="28B00EDD" w:rsidR="00FC251A" w:rsidRDefault="00FC251A" w:rsidP="00FC251A">
      <w:pPr>
        <w:widowControl w:val="0"/>
        <w:suppressAutoHyphens/>
        <w:rPr>
          <w:rFonts w:cs="Calibri"/>
          <w:color w:val="000000"/>
        </w:rPr>
      </w:pPr>
      <w:r w:rsidRPr="003B2CA8">
        <w:rPr>
          <w:rFonts w:cs="Calibri"/>
          <w:color w:val="000000"/>
        </w:rPr>
        <w:t xml:space="preserve">S </w:t>
      </w:r>
      <w:r w:rsidRPr="003B2CA8">
        <w:rPr>
          <w:rFonts w:cs="Calibri"/>
        </w:rPr>
        <w:t>prijaznimi</w:t>
      </w:r>
      <w:r w:rsidRPr="003B2CA8">
        <w:rPr>
          <w:rFonts w:cs="Calibri"/>
          <w:color w:val="000000"/>
        </w:rPr>
        <w:t xml:space="preserve"> pozdravi!</w:t>
      </w:r>
    </w:p>
    <w:p w14:paraId="70552CDD" w14:textId="77777777" w:rsidR="00FC251A" w:rsidRPr="003B2CA8" w:rsidRDefault="00FC251A" w:rsidP="00FC251A">
      <w:pPr>
        <w:widowControl w:val="0"/>
        <w:suppressAutoHyphens/>
        <w:rPr>
          <w:rFonts w:cs="Calibri"/>
          <w:b/>
        </w:rPr>
      </w:pPr>
    </w:p>
    <w:p w14:paraId="0EA71F10" w14:textId="77777777" w:rsidR="00FC251A" w:rsidRPr="003B2CA8" w:rsidRDefault="00FC251A" w:rsidP="00FC251A">
      <w:pPr>
        <w:autoSpaceDE w:val="0"/>
        <w:autoSpaceDN w:val="0"/>
        <w:adjustRightInd w:val="0"/>
        <w:spacing w:line="240" w:lineRule="atLeast"/>
        <w:rPr>
          <w:rFonts w:cs="Calibri"/>
          <w:color w:val="000000"/>
        </w:rPr>
      </w:pPr>
    </w:p>
    <w:p w14:paraId="3C5F5732" w14:textId="77777777" w:rsidR="00FC251A" w:rsidRPr="003B2CA8" w:rsidRDefault="00FC251A" w:rsidP="00FC251A">
      <w:pPr>
        <w:autoSpaceDE w:val="0"/>
        <w:autoSpaceDN w:val="0"/>
        <w:adjustRightInd w:val="0"/>
        <w:spacing w:line="240" w:lineRule="atLeast"/>
        <w:rPr>
          <w:rFonts w:cs="Calibri"/>
          <w:color w:val="000000"/>
        </w:rPr>
      </w:pPr>
    </w:p>
    <w:tbl>
      <w:tblPr>
        <w:tblW w:w="9639" w:type="dxa"/>
        <w:tblInd w:w="40" w:type="dxa"/>
        <w:tblLayout w:type="fixed"/>
        <w:tblCellMar>
          <w:left w:w="40" w:type="dxa"/>
          <w:right w:w="40" w:type="dxa"/>
        </w:tblCellMar>
        <w:tblLook w:val="0000" w:firstRow="0" w:lastRow="0" w:firstColumn="0" w:lastColumn="0" w:noHBand="0" w:noVBand="0"/>
      </w:tblPr>
      <w:tblGrid>
        <w:gridCol w:w="4395"/>
        <w:gridCol w:w="5244"/>
      </w:tblGrid>
      <w:tr w:rsidR="00FC251A" w:rsidRPr="003B2CA8" w14:paraId="450E20F8" w14:textId="77777777" w:rsidTr="00877DA6">
        <w:trPr>
          <w:trHeight w:val="114"/>
        </w:trPr>
        <w:tc>
          <w:tcPr>
            <w:tcW w:w="4395" w:type="dxa"/>
            <w:tcBorders>
              <w:top w:val="nil"/>
              <w:left w:val="nil"/>
              <w:bottom w:val="nil"/>
              <w:right w:val="nil"/>
            </w:tcBorders>
          </w:tcPr>
          <w:p w14:paraId="30A0DD5A" w14:textId="161A58E9" w:rsidR="00FC251A" w:rsidRPr="003B2CA8" w:rsidRDefault="00FC251A" w:rsidP="00FC251A">
            <w:pPr>
              <w:autoSpaceDE w:val="0"/>
              <w:autoSpaceDN w:val="0"/>
              <w:adjustRightInd w:val="0"/>
              <w:spacing w:line="240" w:lineRule="atLeast"/>
              <w:ind w:right="110"/>
              <w:rPr>
                <w:rFonts w:cs="Calibri"/>
                <w:color w:val="000000"/>
              </w:rPr>
            </w:pPr>
            <w:r w:rsidRPr="003B2CA8">
              <w:rPr>
                <w:rFonts w:cs="Calibri"/>
                <w:color w:val="000000"/>
              </w:rPr>
              <w:t>Pripravil</w:t>
            </w:r>
            <w:r w:rsidR="001D6DAC">
              <w:rPr>
                <w:rFonts w:cs="Calibri"/>
                <w:color w:val="000000"/>
              </w:rPr>
              <w:t>i</w:t>
            </w:r>
            <w:r w:rsidRPr="003B2CA8">
              <w:rPr>
                <w:rFonts w:cs="Calibri"/>
                <w:color w:val="000000"/>
              </w:rPr>
              <w:t>:</w:t>
            </w:r>
          </w:p>
          <w:p w14:paraId="2658846A" w14:textId="0BD1ABA1" w:rsidR="00FC251A" w:rsidRDefault="00FC251A" w:rsidP="00FC251A">
            <w:pPr>
              <w:autoSpaceDE w:val="0"/>
              <w:autoSpaceDN w:val="0"/>
              <w:adjustRightInd w:val="0"/>
              <w:spacing w:line="240" w:lineRule="atLeast"/>
              <w:ind w:right="110"/>
              <w:rPr>
                <w:rFonts w:cs="Calibri"/>
                <w:color w:val="000000"/>
              </w:rPr>
            </w:pPr>
            <w:r>
              <w:rPr>
                <w:rFonts w:cs="Calibri"/>
                <w:color w:val="000000"/>
              </w:rPr>
              <w:t>Tatjana Černič Klobasa</w:t>
            </w:r>
            <w:r w:rsidRPr="008D444A">
              <w:rPr>
                <w:rFonts w:cs="Calibri"/>
                <w:color w:val="000000"/>
              </w:rPr>
              <w:t>, svetovalka področja</w:t>
            </w:r>
          </w:p>
          <w:p w14:paraId="05B1FB53" w14:textId="1FD71E6D" w:rsidR="001D6DAC" w:rsidRPr="003B2CA8" w:rsidRDefault="001D6DAC" w:rsidP="00FC251A">
            <w:pPr>
              <w:autoSpaceDE w:val="0"/>
              <w:autoSpaceDN w:val="0"/>
              <w:adjustRightInd w:val="0"/>
              <w:spacing w:line="240" w:lineRule="atLeast"/>
              <w:ind w:right="110"/>
              <w:rPr>
                <w:rFonts w:cs="Calibri"/>
                <w:color w:val="000000"/>
              </w:rPr>
            </w:pPr>
            <w:r>
              <w:rPr>
                <w:rFonts w:cs="Calibri"/>
                <w:color w:val="000000"/>
              </w:rPr>
              <w:t>Jerneja Eržen, strokovna sodelavka</w:t>
            </w:r>
          </w:p>
          <w:p w14:paraId="2CDC8B42" w14:textId="77777777" w:rsidR="00FC251A" w:rsidRPr="008712CB" w:rsidRDefault="00FC251A" w:rsidP="00FC251A">
            <w:pPr>
              <w:autoSpaceDE w:val="0"/>
              <w:autoSpaceDN w:val="0"/>
              <w:adjustRightInd w:val="0"/>
              <w:spacing w:line="240" w:lineRule="atLeast"/>
              <w:ind w:right="110"/>
              <w:rPr>
                <w:rFonts w:cs="Calibri"/>
                <w:color w:val="000000"/>
              </w:rPr>
            </w:pPr>
          </w:p>
        </w:tc>
        <w:tc>
          <w:tcPr>
            <w:tcW w:w="5244" w:type="dxa"/>
            <w:tcBorders>
              <w:top w:val="nil"/>
              <w:left w:val="nil"/>
              <w:bottom w:val="nil"/>
              <w:right w:val="nil"/>
            </w:tcBorders>
          </w:tcPr>
          <w:p w14:paraId="23D73806" w14:textId="77777777" w:rsidR="00FC251A" w:rsidRPr="003B2CA8" w:rsidRDefault="00FC251A" w:rsidP="00FC251A">
            <w:pPr>
              <w:autoSpaceDE w:val="0"/>
              <w:autoSpaceDN w:val="0"/>
              <w:adjustRightInd w:val="0"/>
              <w:spacing w:line="240" w:lineRule="atLeast"/>
              <w:ind w:left="2378" w:right="10" w:firstLine="425"/>
              <w:rPr>
                <w:rFonts w:cs="Calibri"/>
                <w:color w:val="000000"/>
              </w:rPr>
            </w:pPr>
            <w:r w:rsidRPr="003B2CA8">
              <w:rPr>
                <w:rFonts w:cs="Calibri"/>
                <w:color w:val="000000"/>
              </w:rPr>
              <w:t>Sladjana Jelisavčić,</w:t>
            </w:r>
          </w:p>
          <w:p w14:paraId="128CF7E1" w14:textId="77777777" w:rsidR="00FC251A" w:rsidRPr="003B2CA8" w:rsidRDefault="00FC251A" w:rsidP="00FC251A">
            <w:pPr>
              <w:autoSpaceDE w:val="0"/>
              <w:autoSpaceDN w:val="0"/>
              <w:adjustRightInd w:val="0"/>
              <w:spacing w:line="240" w:lineRule="atLeast"/>
              <w:ind w:left="2378" w:right="10"/>
              <w:rPr>
                <w:rFonts w:cs="Calibri"/>
                <w:color w:val="000000"/>
              </w:rPr>
            </w:pPr>
            <w:r w:rsidRPr="003B2CA8">
              <w:rPr>
                <w:rFonts w:cs="Calibri"/>
                <w:color w:val="000000"/>
              </w:rPr>
              <w:t>vodja – direktorica področja I</w:t>
            </w:r>
          </w:p>
        </w:tc>
      </w:tr>
    </w:tbl>
    <w:p w14:paraId="4A13A6B4" w14:textId="77777777" w:rsidR="00FC251A" w:rsidRPr="001D1365" w:rsidRDefault="00FC251A" w:rsidP="00FC251A">
      <w:pPr>
        <w:pStyle w:val="Naslov1"/>
        <w:numPr>
          <w:ilvl w:val="0"/>
          <w:numId w:val="0"/>
        </w:numPr>
        <w:rPr>
          <w:rFonts w:cs="Calibri"/>
          <w:sz w:val="22"/>
          <w:szCs w:val="22"/>
        </w:rPr>
      </w:pPr>
      <w:bookmarkStart w:id="0" w:name="_Toc44485735"/>
      <w:bookmarkStart w:id="1" w:name="_Toc62632164"/>
      <w:bookmarkStart w:id="2" w:name="_Toc21677128"/>
      <w:bookmarkStart w:id="3" w:name="_Toc22799412"/>
      <w:bookmarkStart w:id="4" w:name="_Toc29808817"/>
      <w:bookmarkStart w:id="5" w:name="_Toc71526887"/>
      <w:bookmarkStart w:id="6" w:name="_Hlk71276909"/>
    </w:p>
    <w:bookmarkEnd w:id="0"/>
    <w:p w14:paraId="6EEF34B5" w14:textId="2D13100C" w:rsidR="00FC251A" w:rsidRPr="00573B91" w:rsidRDefault="00FC251A" w:rsidP="003870D4">
      <w:pPr>
        <w:pStyle w:val="Naslov1"/>
        <w:numPr>
          <w:ilvl w:val="0"/>
          <w:numId w:val="9"/>
        </w:numPr>
        <w:ind w:left="284"/>
        <w:rPr>
          <w:rFonts w:cs="Calibri"/>
        </w:rPr>
      </w:pPr>
      <w:r>
        <w:rPr>
          <w:rFonts w:cs="Calibri"/>
          <w:highlight w:val="lightGray"/>
        </w:rPr>
        <w:br w:type="page"/>
      </w:r>
      <w:bookmarkStart w:id="7" w:name="_Toc93467000"/>
      <w:r>
        <w:rPr>
          <w:rFonts w:cs="Calibri"/>
        </w:rPr>
        <w:lastRenderedPageBreak/>
        <w:t xml:space="preserve">Lekarne – izdaja 20 testov HAG za </w:t>
      </w:r>
      <w:proofErr w:type="spellStart"/>
      <w:r>
        <w:rPr>
          <w:rFonts w:cs="Calibri"/>
        </w:rPr>
        <w:t>samotestiranje</w:t>
      </w:r>
      <w:proofErr w:type="spellEnd"/>
      <w:r>
        <w:rPr>
          <w:rFonts w:cs="Calibri"/>
        </w:rPr>
        <w:t xml:space="preserve"> učencev, dijakov, študentov</w:t>
      </w:r>
      <w:bookmarkEnd w:id="7"/>
    </w:p>
    <w:p w14:paraId="69C6047A" w14:textId="77777777" w:rsidR="00FC251A" w:rsidRDefault="00FC251A" w:rsidP="00FC251A">
      <w:pPr>
        <w:keepNext/>
        <w:keepLines/>
        <w:rPr>
          <w:i/>
          <w:color w:val="0070C0"/>
        </w:rPr>
      </w:pPr>
    </w:p>
    <w:p w14:paraId="6CA6BEEB" w14:textId="77777777" w:rsidR="00FC251A" w:rsidRPr="000D709E" w:rsidRDefault="00FC251A" w:rsidP="00FC251A">
      <w:pPr>
        <w:keepNext/>
        <w:keepLines/>
        <w:rPr>
          <w:i/>
          <w:color w:val="0070C0"/>
        </w:rPr>
      </w:pPr>
      <w:r w:rsidRPr="0013409E">
        <w:rPr>
          <w:i/>
          <w:color w:val="0070C0"/>
        </w:rPr>
        <w:t>Vsem</w:t>
      </w:r>
      <w:r>
        <w:rPr>
          <w:i/>
          <w:color w:val="0070C0"/>
        </w:rPr>
        <w:t xml:space="preserve"> izvajalcem lekarniške dejavnosti</w:t>
      </w:r>
      <w:r w:rsidRPr="000D709E">
        <w:rPr>
          <w:i/>
          <w:color w:val="0070C0"/>
        </w:rPr>
        <w:t xml:space="preserve"> </w:t>
      </w:r>
    </w:p>
    <w:p w14:paraId="53F72E36" w14:textId="77777777" w:rsidR="00FC251A" w:rsidRDefault="00FC251A" w:rsidP="00FC251A">
      <w:pPr>
        <w:widowControl w:val="0"/>
        <w:suppressAutoHyphens/>
        <w:rPr>
          <w:color w:val="000000"/>
        </w:rPr>
      </w:pPr>
    </w:p>
    <w:p w14:paraId="4CB4BCBC" w14:textId="77777777" w:rsidR="00FC251A" w:rsidRDefault="00FC251A" w:rsidP="00FC251A">
      <w:pPr>
        <w:rPr>
          <w:rFonts w:cs="Calibri"/>
          <w:b/>
          <w:bCs/>
        </w:rPr>
      </w:pPr>
      <w:r w:rsidRPr="002E77F9">
        <w:rPr>
          <w:rFonts w:cs="Calibri"/>
          <w:b/>
          <w:bCs/>
        </w:rPr>
        <w:t>Povzetek vsebine</w:t>
      </w:r>
    </w:p>
    <w:p w14:paraId="4CB96072" w14:textId="77777777" w:rsidR="00FC251A" w:rsidRDefault="00FC251A" w:rsidP="00FC251A">
      <w:pPr>
        <w:widowControl w:val="0"/>
        <w:suppressAutoHyphens/>
        <w:rPr>
          <w:color w:val="000000"/>
        </w:rPr>
      </w:pPr>
    </w:p>
    <w:p w14:paraId="7EB5E1AF" w14:textId="23B31464" w:rsidR="00FC251A" w:rsidRPr="00483132" w:rsidRDefault="00FC251A" w:rsidP="00483132">
      <w:pPr>
        <w:pStyle w:val="Odstavekseznama"/>
        <w:ind w:left="0"/>
        <w:contextualSpacing/>
        <w:jc w:val="both"/>
        <w:rPr>
          <w:rFonts w:ascii="Calibri" w:hAnsi="Calibri" w:cs="Calibri"/>
          <w:color w:val="000000"/>
          <w:sz w:val="22"/>
          <w:szCs w:val="22"/>
        </w:rPr>
      </w:pPr>
      <w:r w:rsidRPr="00483132">
        <w:rPr>
          <w:rFonts w:ascii="Calibri" w:hAnsi="Calibri" w:cs="Calibri"/>
          <w:color w:val="000000"/>
          <w:sz w:val="22"/>
          <w:szCs w:val="22"/>
        </w:rPr>
        <w:t xml:space="preserve">Z </w:t>
      </w:r>
      <w:r w:rsidR="006B21B8">
        <w:rPr>
          <w:rFonts w:ascii="Calibri" w:hAnsi="Calibri" w:cs="Calibri"/>
          <w:color w:val="000000"/>
          <w:sz w:val="22"/>
          <w:szCs w:val="22"/>
        </w:rPr>
        <w:t>O</w:t>
      </w:r>
      <w:r w:rsidRPr="00483132">
        <w:rPr>
          <w:rFonts w:ascii="Calibri" w:hAnsi="Calibri" w:cs="Calibri"/>
          <w:color w:val="000000"/>
          <w:sz w:val="22"/>
          <w:szCs w:val="22"/>
        </w:rPr>
        <w:t xml:space="preserve">krožnicama ZAE 12/2021 in 17/2021 smo uvedli storitve Q0321 »HAG test za samotestiranje« ter E0780 »Izdaja 5 HAG testov za </w:t>
      </w:r>
      <w:proofErr w:type="spellStart"/>
      <w:r w:rsidRPr="00483132">
        <w:rPr>
          <w:rFonts w:ascii="Calibri" w:hAnsi="Calibri" w:cs="Calibri"/>
          <w:color w:val="000000"/>
          <w:sz w:val="22"/>
          <w:szCs w:val="22"/>
        </w:rPr>
        <w:t>samotestiranje</w:t>
      </w:r>
      <w:proofErr w:type="spellEnd"/>
      <w:r w:rsidRPr="00483132">
        <w:rPr>
          <w:rFonts w:ascii="Calibri" w:hAnsi="Calibri" w:cs="Calibri"/>
          <w:color w:val="000000"/>
          <w:sz w:val="22"/>
          <w:szCs w:val="22"/>
        </w:rPr>
        <w:t xml:space="preserve"> na SARS-</w:t>
      </w:r>
      <w:proofErr w:type="spellStart"/>
      <w:r w:rsidRPr="00483132">
        <w:rPr>
          <w:rFonts w:ascii="Calibri" w:hAnsi="Calibri" w:cs="Calibri"/>
          <w:color w:val="000000"/>
          <w:sz w:val="22"/>
          <w:szCs w:val="22"/>
        </w:rPr>
        <w:t>Cov</w:t>
      </w:r>
      <w:proofErr w:type="spellEnd"/>
      <w:r w:rsidRPr="00483132">
        <w:rPr>
          <w:rFonts w:ascii="Calibri" w:hAnsi="Calibri" w:cs="Calibri"/>
          <w:color w:val="000000"/>
          <w:sz w:val="22"/>
          <w:szCs w:val="22"/>
        </w:rPr>
        <w:t xml:space="preserve">-2«, E0781 »Izdaja 10 HAG testov za </w:t>
      </w:r>
      <w:proofErr w:type="spellStart"/>
      <w:r w:rsidRPr="00483132">
        <w:rPr>
          <w:rFonts w:ascii="Calibri" w:hAnsi="Calibri" w:cs="Calibri"/>
          <w:color w:val="000000"/>
          <w:sz w:val="22"/>
          <w:szCs w:val="22"/>
        </w:rPr>
        <w:t>samotestiranje</w:t>
      </w:r>
      <w:proofErr w:type="spellEnd"/>
      <w:r w:rsidRPr="00483132">
        <w:rPr>
          <w:rFonts w:ascii="Calibri" w:hAnsi="Calibri" w:cs="Calibri"/>
          <w:color w:val="000000"/>
          <w:sz w:val="22"/>
          <w:szCs w:val="22"/>
        </w:rPr>
        <w:t xml:space="preserve"> na SARS-</w:t>
      </w:r>
      <w:proofErr w:type="spellStart"/>
      <w:r w:rsidRPr="00483132">
        <w:rPr>
          <w:rFonts w:ascii="Calibri" w:hAnsi="Calibri" w:cs="Calibri"/>
          <w:color w:val="000000"/>
          <w:sz w:val="22"/>
          <w:szCs w:val="22"/>
        </w:rPr>
        <w:t>Cov</w:t>
      </w:r>
      <w:proofErr w:type="spellEnd"/>
      <w:r w:rsidRPr="00483132">
        <w:rPr>
          <w:rFonts w:ascii="Calibri" w:hAnsi="Calibri" w:cs="Calibri"/>
          <w:color w:val="000000"/>
          <w:sz w:val="22"/>
          <w:szCs w:val="22"/>
        </w:rPr>
        <w:t xml:space="preserve">-2« in E0782 »Izdaja 15 HAG testov za </w:t>
      </w:r>
      <w:proofErr w:type="spellStart"/>
      <w:r w:rsidRPr="00483132">
        <w:rPr>
          <w:rFonts w:ascii="Calibri" w:hAnsi="Calibri" w:cs="Calibri"/>
          <w:color w:val="000000"/>
          <w:sz w:val="22"/>
          <w:szCs w:val="22"/>
        </w:rPr>
        <w:t>samotestiranje</w:t>
      </w:r>
      <w:proofErr w:type="spellEnd"/>
      <w:r w:rsidRPr="00483132">
        <w:rPr>
          <w:rFonts w:ascii="Calibri" w:hAnsi="Calibri" w:cs="Calibri"/>
          <w:color w:val="000000"/>
          <w:sz w:val="22"/>
          <w:szCs w:val="22"/>
        </w:rPr>
        <w:t xml:space="preserve"> na SARS-</w:t>
      </w:r>
      <w:proofErr w:type="spellStart"/>
      <w:r w:rsidRPr="00483132">
        <w:rPr>
          <w:rFonts w:ascii="Calibri" w:hAnsi="Calibri" w:cs="Calibri"/>
          <w:color w:val="000000"/>
          <w:sz w:val="22"/>
          <w:szCs w:val="22"/>
        </w:rPr>
        <w:t>Cov</w:t>
      </w:r>
      <w:proofErr w:type="spellEnd"/>
      <w:r w:rsidRPr="00483132">
        <w:rPr>
          <w:rFonts w:ascii="Calibri" w:hAnsi="Calibri" w:cs="Calibri"/>
          <w:color w:val="000000"/>
          <w:sz w:val="22"/>
          <w:szCs w:val="22"/>
        </w:rPr>
        <w:t xml:space="preserve">-2«. Z današnjo okrožnico dodajamo novo storitev E0806 »Izdaja 20 testov HAG za </w:t>
      </w:r>
      <w:proofErr w:type="spellStart"/>
      <w:r w:rsidRPr="00483132">
        <w:rPr>
          <w:rFonts w:ascii="Calibri" w:hAnsi="Calibri" w:cs="Calibri"/>
          <w:color w:val="000000"/>
          <w:sz w:val="22"/>
          <w:szCs w:val="22"/>
        </w:rPr>
        <w:t>samotestiranje</w:t>
      </w:r>
      <w:proofErr w:type="spellEnd"/>
      <w:r w:rsidRPr="00483132">
        <w:rPr>
          <w:rFonts w:ascii="Calibri" w:hAnsi="Calibri" w:cs="Calibri"/>
          <w:color w:val="000000"/>
          <w:sz w:val="22"/>
          <w:szCs w:val="22"/>
        </w:rPr>
        <w:t xml:space="preserve"> na SARS-</w:t>
      </w:r>
      <w:proofErr w:type="spellStart"/>
      <w:r w:rsidRPr="00483132">
        <w:rPr>
          <w:rFonts w:ascii="Calibri" w:hAnsi="Calibri" w:cs="Calibri"/>
          <w:color w:val="000000"/>
          <w:sz w:val="22"/>
          <w:szCs w:val="22"/>
        </w:rPr>
        <w:t>Cov</w:t>
      </w:r>
      <w:proofErr w:type="spellEnd"/>
      <w:r w:rsidRPr="00483132">
        <w:rPr>
          <w:rFonts w:ascii="Calibri" w:hAnsi="Calibri" w:cs="Calibri"/>
          <w:color w:val="000000"/>
          <w:sz w:val="22"/>
          <w:szCs w:val="22"/>
        </w:rPr>
        <w:t>-2«.</w:t>
      </w:r>
    </w:p>
    <w:p w14:paraId="6AC00503" w14:textId="77777777" w:rsidR="00FC251A" w:rsidRDefault="00FC251A" w:rsidP="00FC251A">
      <w:pPr>
        <w:widowControl w:val="0"/>
        <w:suppressAutoHyphens/>
        <w:spacing w:before="100" w:beforeAutospacing="1"/>
        <w:rPr>
          <w:rFonts w:cs="Calibri"/>
          <w:b/>
          <w:bCs/>
          <w:color w:val="000000"/>
        </w:rPr>
      </w:pPr>
      <w:r w:rsidRPr="002E77F9">
        <w:rPr>
          <w:rFonts w:cs="Calibri"/>
          <w:b/>
          <w:bCs/>
          <w:color w:val="000000"/>
        </w:rPr>
        <w:t>Navodilo za obračun</w:t>
      </w:r>
    </w:p>
    <w:p w14:paraId="638D21C0" w14:textId="77777777" w:rsidR="00FC251A" w:rsidRDefault="00FC251A" w:rsidP="00FC251A">
      <w:pPr>
        <w:pStyle w:val="Odstavekseznama"/>
        <w:ind w:left="0"/>
        <w:contextualSpacing/>
        <w:jc w:val="both"/>
        <w:rPr>
          <w:rFonts w:ascii="Calibri" w:hAnsi="Calibri" w:cs="Calibri"/>
          <w:color w:val="000000"/>
          <w:sz w:val="22"/>
          <w:szCs w:val="22"/>
        </w:rPr>
      </w:pPr>
    </w:p>
    <w:p w14:paraId="38549E8A" w14:textId="77777777" w:rsidR="00FC251A" w:rsidRDefault="00FC251A" w:rsidP="00FC251A">
      <w:pPr>
        <w:pStyle w:val="Odstavekseznama"/>
        <w:ind w:left="0"/>
        <w:contextualSpacing/>
        <w:jc w:val="both"/>
        <w:rPr>
          <w:rFonts w:ascii="Calibri" w:hAnsi="Calibri" w:cs="Calibri"/>
          <w:sz w:val="22"/>
          <w:szCs w:val="22"/>
        </w:rPr>
      </w:pPr>
      <w:r>
        <w:rPr>
          <w:rFonts w:ascii="Calibri" w:hAnsi="Calibri" w:cs="Calibri"/>
          <w:color w:val="000000"/>
          <w:sz w:val="22"/>
          <w:szCs w:val="22"/>
        </w:rPr>
        <w:t xml:space="preserve">V skladu s </w:t>
      </w:r>
      <w:r>
        <w:rPr>
          <w:rFonts w:ascii="Calibri" w:hAnsi="Calibri" w:cs="Calibri"/>
          <w:sz w:val="22"/>
          <w:szCs w:val="22"/>
        </w:rPr>
        <w:t xml:space="preserve">Sklepom o dopolnitvi Sklepa </w:t>
      </w:r>
      <w:r w:rsidRPr="00707BE9">
        <w:rPr>
          <w:rFonts w:ascii="Calibri" w:hAnsi="Calibri" w:cs="Calibri"/>
          <w:sz w:val="22"/>
          <w:szCs w:val="22"/>
        </w:rPr>
        <w:t xml:space="preserve">o določitvi najvišje višine povračila stroškov </w:t>
      </w:r>
      <w:r>
        <w:rPr>
          <w:rFonts w:ascii="Calibri" w:hAnsi="Calibri" w:cs="Calibri"/>
          <w:sz w:val="22"/>
          <w:szCs w:val="22"/>
        </w:rPr>
        <w:t xml:space="preserve">za zdravstvene storitve testiranja, stroškov testov HAG in testov HAG za </w:t>
      </w:r>
      <w:proofErr w:type="spellStart"/>
      <w:r>
        <w:rPr>
          <w:rFonts w:ascii="Calibri" w:hAnsi="Calibri" w:cs="Calibri"/>
          <w:sz w:val="22"/>
          <w:szCs w:val="22"/>
        </w:rPr>
        <w:t>samotestiranje</w:t>
      </w:r>
      <w:proofErr w:type="spellEnd"/>
      <w:r>
        <w:rPr>
          <w:rFonts w:ascii="Calibri" w:hAnsi="Calibri" w:cs="Calibri"/>
          <w:sz w:val="22"/>
          <w:szCs w:val="22"/>
        </w:rPr>
        <w:t xml:space="preserve"> </w:t>
      </w:r>
      <w:r w:rsidRPr="00707BE9">
        <w:rPr>
          <w:rFonts w:ascii="Calibri" w:hAnsi="Calibri" w:cs="Calibri"/>
          <w:sz w:val="22"/>
          <w:szCs w:val="22"/>
        </w:rPr>
        <w:t>na virus SARS-</w:t>
      </w:r>
      <w:proofErr w:type="spellStart"/>
      <w:r w:rsidRPr="00707BE9">
        <w:rPr>
          <w:rFonts w:ascii="Calibri" w:hAnsi="Calibri" w:cs="Calibri"/>
          <w:sz w:val="22"/>
          <w:szCs w:val="22"/>
        </w:rPr>
        <w:t>CoV</w:t>
      </w:r>
      <w:proofErr w:type="spellEnd"/>
      <w:r w:rsidRPr="00707BE9">
        <w:rPr>
          <w:rFonts w:ascii="Calibri" w:hAnsi="Calibri" w:cs="Calibri"/>
          <w:sz w:val="22"/>
          <w:szCs w:val="22"/>
        </w:rPr>
        <w:t>-2</w:t>
      </w:r>
      <w:r>
        <w:rPr>
          <w:rFonts w:ascii="Calibri" w:hAnsi="Calibri" w:cs="Calibri"/>
          <w:sz w:val="22"/>
          <w:szCs w:val="22"/>
        </w:rPr>
        <w:t xml:space="preserve"> ter načinu izstavitve zahtevkov za povračilo teh stroškov, </w:t>
      </w:r>
      <w:r w:rsidRPr="00916BC2">
        <w:rPr>
          <w:rFonts w:ascii="Calibri" w:hAnsi="Calibri" w:cs="Calibri"/>
          <w:sz w:val="22"/>
          <w:szCs w:val="22"/>
        </w:rPr>
        <w:t xml:space="preserve">ki </w:t>
      </w:r>
      <w:r>
        <w:rPr>
          <w:rFonts w:ascii="Calibri" w:hAnsi="Calibri" w:cs="Calibri"/>
          <w:sz w:val="22"/>
          <w:szCs w:val="22"/>
        </w:rPr>
        <w:t>je</w:t>
      </w:r>
      <w:r w:rsidRPr="00916BC2">
        <w:rPr>
          <w:rFonts w:ascii="Calibri" w:hAnsi="Calibri" w:cs="Calibri"/>
          <w:sz w:val="22"/>
          <w:szCs w:val="22"/>
        </w:rPr>
        <w:t xml:space="preserve"> </w:t>
      </w:r>
      <w:proofErr w:type="gramStart"/>
      <w:r w:rsidRPr="00916BC2">
        <w:rPr>
          <w:rFonts w:ascii="Calibri" w:hAnsi="Calibri" w:cs="Calibri"/>
          <w:sz w:val="22"/>
          <w:szCs w:val="22"/>
        </w:rPr>
        <w:t>objavljen</w:t>
      </w:r>
      <w:proofErr w:type="gramEnd"/>
      <w:r w:rsidRPr="00916BC2">
        <w:rPr>
          <w:rFonts w:ascii="Calibri" w:hAnsi="Calibri" w:cs="Calibri"/>
          <w:sz w:val="22"/>
          <w:szCs w:val="22"/>
        </w:rPr>
        <w:t xml:space="preserve"> na spletnih straneh Ministrstva za zdravje</w:t>
      </w:r>
      <w:r>
        <w:rPr>
          <w:rFonts w:ascii="Calibri" w:hAnsi="Calibri" w:cs="Calibri"/>
          <w:sz w:val="22"/>
          <w:szCs w:val="22"/>
        </w:rPr>
        <w:t xml:space="preserve">, lekarne za opravljeno delo ZZZS obračunajo stroške izdanih testov ter stroške izdaje testov HAG za samotestiranje. </w:t>
      </w:r>
    </w:p>
    <w:p w14:paraId="2152DB2B" w14:textId="77777777" w:rsidR="00FC251A" w:rsidRPr="00853ABB" w:rsidRDefault="00FC251A" w:rsidP="00853ABB">
      <w:pPr>
        <w:pStyle w:val="Odstavekseznama"/>
        <w:ind w:left="0"/>
        <w:contextualSpacing/>
        <w:jc w:val="both"/>
        <w:rPr>
          <w:rFonts w:ascii="Calibri" w:hAnsi="Calibri" w:cs="Calibri"/>
          <w:color w:val="000000"/>
          <w:sz w:val="22"/>
          <w:szCs w:val="22"/>
        </w:rPr>
      </w:pPr>
    </w:p>
    <w:p w14:paraId="02AEBB98" w14:textId="6CD2CE28" w:rsidR="00FC251A" w:rsidRPr="00853ABB" w:rsidRDefault="00FC251A" w:rsidP="00853ABB">
      <w:pPr>
        <w:pStyle w:val="Odstavekseznama"/>
        <w:ind w:left="0"/>
        <w:contextualSpacing/>
        <w:jc w:val="both"/>
        <w:rPr>
          <w:rFonts w:ascii="Calibri" w:hAnsi="Calibri" w:cs="Calibri"/>
          <w:color w:val="000000"/>
          <w:sz w:val="22"/>
          <w:szCs w:val="22"/>
        </w:rPr>
      </w:pPr>
      <w:r w:rsidRPr="00853ABB">
        <w:rPr>
          <w:rFonts w:ascii="Calibri" w:hAnsi="Calibri" w:cs="Calibri"/>
          <w:color w:val="000000"/>
          <w:sz w:val="22"/>
          <w:szCs w:val="22"/>
        </w:rPr>
        <w:t xml:space="preserve">Poleg nabavne cene </w:t>
      </w:r>
      <w:proofErr w:type="gramStart"/>
      <w:r w:rsidRPr="00853ABB">
        <w:rPr>
          <w:rFonts w:ascii="Calibri" w:hAnsi="Calibri" w:cs="Calibri"/>
          <w:color w:val="000000"/>
          <w:sz w:val="22"/>
          <w:szCs w:val="22"/>
        </w:rPr>
        <w:t>HAG testa</w:t>
      </w:r>
      <w:proofErr w:type="gramEnd"/>
      <w:r w:rsidRPr="00853ABB">
        <w:rPr>
          <w:rFonts w:ascii="Calibri" w:hAnsi="Calibri" w:cs="Calibri"/>
          <w:color w:val="000000"/>
          <w:sz w:val="22"/>
          <w:szCs w:val="22"/>
        </w:rPr>
        <w:t xml:space="preserve"> za samotestiranje, lahko lekarne za opravljeno delo obračunajo tudi stroške izdaje HAG testov za samotestiranje. Za ta namen uvajamo novo </w:t>
      </w:r>
      <w:r w:rsidR="006B21B8">
        <w:rPr>
          <w:rFonts w:ascii="Calibri" w:hAnsi="Calibri" w:cs="Calibri"/>
          <w:color w:val="000000"/>
          <w:sz w:val="22"/>
          <w:szCs w:val="22"/>
        </w:rPr>
        <w:t>storitev</w:t>
      </w:r>
      <w:r w:rsidRPr="00853ABB">
        <w:rPr>
          <w:rFonts w:ascii="Calibri" w:hAnsi="Calibri" w:cs="Calibri"/>
          <w:color w:val="000000"/>
          <w:sz w:val="22"/>
          <w:szCs w:val="22"/>
        </w:rPr>
        <w:t xml:space="preserve"> E0806 </w:t>
      </w:r>
      <w:r w:rsidR="006B21B8">
        <w:rPr>
          <w:rFonts w:ascii="Calibri" w:hAnsi="Calibri" w:cs="Calibri"/>
          <w:color w:val="000000"/>
          <w:sz w:val="22"/>
          <w:szCs w:val="22"/>
        </w:rPr>
        <w:t>»</w:t>
      </w:r>
      <w:r w:rsidRPr="00853ABB">
        <w:rPr>
          <w:rFonts w:ascii="Calibri" w:hAnsi="Calibri" w:cs="Calibri"/>
          <w:color w:val="000000"/>
          <w:sz w:val="22"/>
          <w:szCs w:val="22"/>
        </w:rPr>
        <w:t xml:space="preserve">Izdaja 20 testov HAG za </w:t>
      </w:r>
      <w:proofErr w:type="spellStart"/>
      <w:r w:rsidRPr="00853ABB">
        <w:rPr>
          <w:rFonts w:ascii="Calibri" w:hAnsi="Calibri" w:cs="Calibri"/>
          <w:color w:val="000000"/>
          <w:sz w:val="22"/>
          <w:szCs w:val="22"/>
        </w:rPr>
        <w:t>samotestiranje</w:t>
      </w:r>
      <w:proofErr w:type="spellEnd"/>
      <w:r w:rsidRPr="00853ABB">
        <w:rPr>
          <w:rFonts w:ascii="Calibri" w:hAnsi="Calibri" w:cs="Calibri"/>
          <w:color w:val="000000"/>
          <w:sz w:val="22"/>
          <w:szCs w:val="22"/>
        </w:rPr>
        <w:t xml:space="preserve"> na SARS-</w:t>
      </w:r>
      <w:proofErr w:type="spellStart"/>
      <w:r w:rsidRPr="00853ABB">
        <w:rPr>
          <w:rFonts w:ascii="Calibri" w:hAnsi="Calibri" w:cs="Calibri"/>
          <w:color w:val="000000"/>
          <w:sz w:val="22"/>
          <w:szCs w:val="22"/>
        </w:rPr>
        <w:t>Cov</w:t>
      </w:r>
      <w:proofErr w:type="spellEnd"/>
      <w:r w:rsidRPr="00853ABB">
        <w:rPr>
          <w:rFonts w:ascii="Calibri" w:hAnsi="Calibri" w:cs="Calibri"/>
          <w:color w:val="000000"/>
          <w:sz w:val="22"/>
          <w:szCs w:val="22"/>
        </w:rPr>
        <w:t>-2</w:t>
      </w:r>
      <w:r w:rsidR="006B21B8">
        <w:rPr>
          <w:rFonts w:ascii="Calibri" w:hAnsi="Calibri" w:cs="Calibri"/>
          <w:color w:val="000000"/>
          <w:sz w:val="22"/>
          <w:szCs w:val="22"/>
        </w:rPr>
        <w:t>«</w:t>
      </w:r>
      <w:r w:rsidRPr="00853ABB">
        <w:rPr>
          <w:rFonts w:ascii="Calibri" w:hAnsi="Calibri" w:cs="Calibri"/>
          <w:color w:val="000000"/>
          <w:sz w:val="22"/>
          <w:szCs w:val="22"/>
        </w:rPr>
        <w:t xml:space="preserve">. </w:t>
      </w:r>
    </w:p>
    <w:p w14:paraId="045F67D3" w14:textId="77777777" w:rsidR="00FC251A" w:rsidRPr="00853ABB" w:rsidRDefault="00FC251A" w:rsidP="00FC251A">
      <w:pPr>
        <w:pStyle w:val="Odstavekseznama"/>
        <w:ind w:left="0"/>
        <w:contextualSpacing/>
        <w:jc w:val="both"/>
        <w:rPr>
          <w:rFonts w:ascii="Calibri" w:hAnsi="Calibri" w:cs="Calibri"/>
          <w:color w:val="000000"/>
          <w:sz w:val="22"/>
          <w:szCs w:val="22"/>
        </w:rPr>
      </w:pPr>
    </w:p>
    <w:p w14:paraId="5B1EC692" w14:textId="77777777" w:rsidR="00FC251A" w:rsidRPr="00853ABB" w:rsidRDefault="00FC251A" w:rsidP="00FC251A">
      <w:pPr>
        <w:pStyle w:val="Odstavekseznama"/>
        <w:ind w:left="0"/>
        <w:contextualSpacing/>
        <w:jc w:val="both"/>
        <w:rPr>
          <w:rFonts w:ascii="Calibri" w:hAnsi="Calibri" w:cs="Calibri"/>
          <w:color w:val="000000"/>
          <w:sz w:val="22"/>
          <w:szCs w:val="22"/>
        </w:rPr>
      </w:pPr>
      <w:r w:rsidRPr="00853ABB">
        <w:rPr>
          <w:rFonts w:ascii="Calibri" w:hAnsi="Calibri" w:cs="Calibri"/>
          <w:color w:val="000000"/>
          <w:sz w:val="22"/>
          <w:szCs w:val="22"/>
        </w:rPr>
        <w:t xml:space="preserve">Za izdajo </w:t>
      </w:r>
      <w:proofErr w:type="gramStart"/>
      <w:r w:rsidRPr="00853ABB">
        <w:rPr>
          <w:rFonts w:ascii="Calibri" w:hAnsi="Calibri" w:cs="Calibri"/>
          <w:color w:val="000000"/>
          <w:sz w:val="22"/>
          <w:szCs w:val="22"/>
        </w:rPr>
        <w:t>HAG testov</w:t>
      </w:r>
      <w:proofErr w:type="gramEnd"/>
      <w:r w:rsidRPr="00853ABB">
        <w:rPr>
          <w:rFonts w:ascii="Calibri" w:hAnsi="Calibri" w:cs="Calibri"/>
          <w:color w:val="000000"/>
          <w:sz w:val="22"/>
          <w:szCs w:val="22"/>
        </w:rPr>
        <w:t xml:space="preserve"> za samotestiranje se uporabi ena izmed navedenih šifer, in sicer glede na to, koliko HAG testov za samotestiranje je bilo izdanih. Število točk enkratne izdaje testov HAG za samotestiranje je enako, ne glede na način pakiranja testov.</w:t>
      </w:r>
    </w:p>
    <w:p w14:paraId="46B4B35C" w14:textId="77777777" w:rsidR="00FC251A" w:rsidRDefault="00FC251A" w:rsidP="00FC251A">
      <w:pPr>
        <w:pStyle w:val="Odstavekseznama"/>
        <w:ind w:left="0"/>
        <w:contextualSpacing/>
        <w:jc w:val="both"/>
        <w:rPr>
          <w:rFonts w:ascii="Calibri" w:hAnsi="Calibri" w:cs="Calibri"/>
          <w:sz w:val="22"/>
          <w:szCs w:val="22"/>
        </w:rPr>
      </w:pPr>
    </w:p>
    <w:p w14:paraId="1D51A34C" w14:textId="398D6A8D" w:rsidR="00FC251A" w:rsidRPr="00853ABB" w:rsidRDefault="00FC251A" w:rsidP="00FC251A">
      <w:pPr>
        <w:pStyle w:val="Odstavekseznama"/>
        <w:ind w:left="0"/>
        <w:contextualSpacing/>
        <w:jc w:val="both"/>
        <w:rPr>
          <w:rFonts w:ascii="Calibri" w:hAnsi="Calibri" w:cs="Calibri"/>
          <w:color w:val="000000"/>
          <w:sz w:val="22"/>
          <w:szCs w:val="22"/>
        </w:rPr>
      </w:pPr>
      <w:r w:rsidRPr="00853ABB">
        <w:rPr>
          <w:rFonts w:ascii="Calibri" w:hAnsi="Calibri" w:cs="Calibri"/>
          <w:color w:val="000000"/>
          <w:sz w:val="22"/>
          <w:szCs w:val="22"/>
        </w:rPr>
        <w:t>Če je od 19.</w:t>
      </w:r>
      <w:r w:rsidR="00853ABB">
        <w:rPr>
          <w:rFonts w:ascii="Calibri" w:hAnsi="Calibri" w:cs="Calibri"/>
          <w:color w:val="000000"/>
          <w:sz w:val="22"/>
          <w:szCs w:val="22"/>
        </w:rPr>
        <w:t xml:space="preserve"> </w:t>
      </w:r>
      <w:r w:rsidRPr="00853ABB">
        <w:rPr>
          <w:rFonts w:ascii="Calibri" w:hAnsi="Calibri" w:cs="Calibri"/>
          <w:color w:val="000000"/>
          <w:sz w:val="22"/>
          <w:szCs w:val="22"/>
        </w:rPr>
        <w:t>1.</w:t>
      </w:r>
      <w:r w:rsidR="00853ABB">
        <w:rPr>
          <w:rFonts w:ascii="Calibri" w:hAnsi="Calibri" w:cs="Calibri"/>
          <w:color w:val="000000"/>
          <w:sz w:val="22"/>
          <w:szCs w:val="22"/>
        </w:rPr>
        <w:t xml:space="preserve"> </w:t>
      </w:r>
      <w:r w:rsidRPr="00853ABB">
        <w:rPr>
          <w:rFonts w:ascii="Calibri" w:hAnsi="Calibri" w:cs="Calibri"/>
          <w:color w:val="000000"/>
          <w:sz w:val="22"/>
          <w:szCs w:val="22"/>
        </w:rPr>
        <w:t xml:space="preserve">2022 dalje v mesecu januarju opravljena prva izdaja testov posamezniku, se upošteva izdaja 20 testov (1,75 </w:t>
      </w:r>
      <w:proofErr w:type="gramStart"/>
      <w:r w:rsidRPr="00853ABB">
        <w:rPr>
          <w:rFonts w:ascii="Calibri" w:hAnsi="Calibri" w:cs="Calibri"/>
          <w:color w:val="000000"/>
          <w:sz w:val="22"/>
          <w:szCs w:val="22"/>
        </w:rPr>
        <w:t>točk</w:t>
      </w:r>
      <w:proofErr w:type="gramEnd"/>
      <w:r w:rsidRPr="00853ABB">
        <w:rPr>
          <w:rFonts w:ascii="Calibri" w:hAnsi="Calibri" w:cs="Calibri"/>
          <w:color w:val="000000"/>
          <w:sz w:val="22"/>
          <w:szCs w:val="22"/>
        </w:rPr>
        <w:t xml:space="preserve">), če pa gre za izdajo dodatnih 5 testov, se zaračuna v januarju dodatna izdaja 5 testov (1,04 točke). </w:t>
      </w:r>
    </w:p>
    <w:p w14:paraId="5FF24A0A" w14:textId="77777777" w:rsidR="00FC251A" w:rsidRPr="00916BC2" w:rsidRDefault="00FC251A" w:rsidP="00FC251A">
      <w:pPr>
        <w:rPr>
          <w:rFonts w:cs="Calibri"/>
          <w:color w:val="000000"/>
        </w:rPr>
      </w:pPr>
    </w:p>
    <w:p w14:paraId="6D0F3AA5" w14:textId="7EF3CEF7" w:rsidR="00FC251A" w:rsidRDefault="00FC251A" w:rsidP="00FC251A">
      <w:pPr>
        <w:rPr>
          <w:rFonts w:cs="Calibri"/>
          <w:iCs/>
        </w:rPr>
      </w:pPr>
      <w:r>
        <w:rPr>
          <w:rFonts w:cs="Calibri"/>
          <w:iCs/>
        </w:rPr>
        <w:t>Spremembe šifrantov so naslednje (z odebeljeno pisavo)</w:t>
      </w:r>
      <w:r w:rsidRPr="009728A1">
        <w:rPr>
          <w:rFonts w:cs="Calibri"/>
          <w:iCs/>
        </w:rPr>
        <w:t>:</w:t>
      </w:r>
    </w:p>
    <w:p w14:paraId="6A57D19D" w14:textId="77777777" w:rsidR="00405C52" w:rsidRPr="009728A1" w:rsidRDefault="00405C52" w:rsidP="00FC251A">
      <w:pPr>
        <w:rPr>
          <w:rFonts w:cs="Calibri"/>
          <w:iCs/>
        </w:rPr>
      </w:pPr>
    </w:p>
    <w:p w14:paraId="7C49C40C" w14:textId="77777777" w:rsidR="00FC251A" w:rsidRPr="004F39EE" w:rsidRDefault="00FC251A" w:rsidP="00FC251A">
      <w:pPr>
        <w:pStyle w:val="Odstavekseznama"/>
        <w:numPr>
          <w:ilvl w:val="0"/>
          <w:numId w:val="4"/>
        </w:numPr>
        <w:contextualSpacing/>
        <w:jc w:val="both"/>
        <w:rPr>
          <w:rFonts w:ascii="Calibri" w:hAnsi="Calibri" w:cs="Calibri"/>
          <w:sz w:val="22"/>
          <w:szCs w:val="22"/>
        </w:rPr>
      </w:pPr>
      <w:r>
        <w:rPr>
          <w:rFonts w:ascii="Calibri" w:hAnsi="Calibri" w:cs="Calibri"/>
          <w:sz w:val="22"/>
          <w:szCs w:val="22"/>
        </w:rPr>
        <w:t>Seznam</w:t>
      </w:r>
      <w:r w:rsidRPr="009728A1">
        <w:rPr>
          <w:rFonts w:ascii="Calibri" w:hAnsi="Calibri" w:cs="Calibri"/>
          <w:sz w:val="22"/>
          <w:szCs w:val="22"/>
        </w:rPr>
        <w:t xml:space="preserve"> storitev 15</w:t>
      </w:r>
      <w:r w:rsidRPr="00EC5F94">
        <w:rPr>
          <w:rFonts w:ascii="Calibri" w:hAnsi="Calibri" w:cs="Calibri"/>
          <w:sz w:val="22"/>
          <w:szCs w:val="22"/>
        </w:rPr>
        <w:t>.</w:t>
      </w:r>
      <w:r>
        <w:rPr>
          <w:rFonts w:ascii="Calibri" w:hAnsi="Calibri" w:cs="Calibri"/>
          <w:sz w:val="22"/>
          <w:szCs w:val="22"/>
        </w:rPr>
        <w:t>3</w:t>
      </w:r>
      <w:r w:rsidRPr="00EC5F94">
        <w:rPr>
          <w:rFonts w:ascii="Calibri" w:hAnsi="Calibri" w:cs="Calibri"/>
          <w:sz w:val="22"/>
          <w:szCs w:val="22"/>
        </w:rPr>
        <w:t xml:space="preserve"> »Storitve PGO«</w:t>
      </w:r>
      <w:r>
        <w:rPr>
          <w:rFonts w:ascii="Calibri" w:hAnsi="Calibri" w:cs="Calibri"/>
          <w:sz w:val="22"/>
          <w:szCs w:val="22"/>
        </w:rPr>
        <w:t>:</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709"/>
        <w:gridCol w:w="2410"/>
        <w:gridCol w:w="4111"/>
        <w:gridCol w:w="1275"/>
        <w:gridCol w:w="851"/>
      </w:tblGrid>
      <w:tr w:rsidR="00FC251A" w:rsidRPr="00530157" w14:paraId="3267F166" w14:textId="77777777" w:rsidTr="00877DA6">
        <w:trPr>
          <w:trHeight w:val="325"/>
        </w:trPr>
        <w:tc>
          <w:tcPr>
            <w:tcW w:w="709" w:type="dxa"/>
            <w:shd w:val="clear" w:color="000000" w:fill="auto"/>
            <w:vAlign w:val="bottom"/>
            <w:hideMark/>
          </w:tcPr>
          <w:p w14:paraId="34F30728" w14:textId="77777777" w:rsidR="00FC251A" w:rsidRPr="00530157" w:rsidRDefault="00FC251A" w:rsidP="00FC251A">
            <w:pPr>
              <w:rPr>
                <w:rFonts w:cs="Calibri"/>
                <w:bCs/>
                <w:i/>
                <w:sz w:val="20"/>
                <w:szCs w:val="20"/>
              </w:rPr>
            </w:pPr>
            <w:r w:rsidRPr="00530157">
              <w:rPr>
                <w:rFonts w:cs="Calibri"/>
                <w:bCs/>
                <w:i/>
                <w:sz w:val="20"/>
                <w:szCs w:val="20"/>
              </w:rPr>
              <w:t>Šifra</w:t>
            </w:r>
          </w:p>
        </w:tc>
        <w:tc>
          <w:tcPr>
            <w:tcW w:w="2410" w:type="dxa"/>
            <w:shd w:val="clear" w:color="000000" w:fill="auto"/>
            <w:vAlign w:val="bottom"/>
            <w:hideMark/>
          </w:tcPr>
          <w:p w14:paraId="6A665AAD" w14:textId="77777777" w:rsidR="00FC251A" w:rsidRPr="00530157" w:rsidRDefault="00FC251A" w:rsidP="00FC251A">
            <w:pPr>
              <w:rPr>
                <w:rFonts w:cs="Calibri"/>
                <w:bCs/>
                <w:i/>
                <w:sz w:val="20"/>
                <w:szCs w:val="20"/>
              </w:rPr>
            </w:pPr>
            <w:r w:rsidRPr="00530157">
              <w:rPr>
                <w:rFonts w:cs="Calibri"/>
                <w:bCs/>
                <w:i/>
                <w:sz w:val="20"/>
                <w:szCs w:val="20"/>
              </w:rPr>
              <w:t>Kratek opis</w:t>
            </w:r>
          </w:p>
        </w:tc>
        <w:tc>
          <w:tcPr>
            <w:tcW w:w="4111" w:type="dxa"/>
            <w:shd w:val="clear" w:color="000000" w:fill="auto"/>
            <w:vAlign w:val="bottom"/>
          </w:tcPr>
          <w:p w14:paraId="73B1942F" w14:textId="77777777" w:rsidR="00FC251A" w:rsidRPr="00530157" w:rsidRDefault="00FC251A" w:rsidP="00FC251A">
            <w:pPr>
              <w:rPr>
                <w:rFonts w:cs="Calibri"/>
                <w:bCs/>
                <w:i/>
                <w:sz w:val="20"/>
                <w:szCs w:val="20"/>
              </w:rPr>
            </w:pPr>
            <w:r w:rsidRPr="00530157">
              <w:rPr>
                <w:rFonts w:cs="Calibri"/>
                <w:bCs/>
                <w:i/>
                <w:sz w:val="20"/>
                <w:szCs w:val="20"/>
              </w:rPr>
              <w:t>Dolg opis</w:t>
            </w:r>
          </w:p>
        </w:tc>
        <w:tc>
          <w:tcPr>
            <w:tcW w:w="1275" w:type="dxa"/>
            <w:shd w:val="clear" w:color="000000" w:fill="auto"/>
            <w:vAlign w:val="bottom"/>
            <w:hideMark/>
          </w:tcPr>
          <w:p w14:paraId="7E8EBA25" w14:textId="77777777" w:rsidR="00FC251A" w:rsidRPr="00530157" w:rsidRDefault="00FC251A" w:rsidP="00FC251A">
            <w:pPr>
              <w:rPr>
                <w:rFonts w:cs="Calibri"/>
                <w:bCs/>
                <w:i/>
                <w:sz w:val="20"/>
                <w:szCs w:val="20"/>
              </w:rPr>
            </w:pPr>
            <w:r w:rsidRPr="00530157">
              <w:rPr>
                <w:rFonts w:cs="Calibri"/>
                <w:bCs/>
                <w:i/>
                <w:sz w:val="20"/>
                <w:szCs w:val="20"/>
              </w:rPr>
              <w:t>Naziv enote mere</w:t>
            </w:r>
          </w:p>
        </w:tc>
        <w:tc>
          <w:tcPr>
            <w:tcW w:w="851" w:type="dxa"/>
            <w:shd w:val="clear" w:color="000000" w:fill="auto"/>
            <w:vAlign w:val="bottom"/>
            <w:hideMark/>
          </w:tcPr>
          <w:p w14:paraId="44880D02" w14:textId="77777777" w:rsidR="00FC251A" w:rsidRPr="00530157" w:rsidRDefault="00FC251A" w:rsidP="00FC251A">
            <w:pPr>
              <w:jc w:val="right"/>
              <w:rPr>
                <w:rFonts w:cs="Calibri"/>
                <w:bCs/>
                <w:i/>
                <w:sz w:val="20"/>
                <w:szCs w:val="20"/>
              </w:rPr>
            </w:pPr>
            <w:r w:rsidRPr="00530157">
              <w:rPr>
                <w:rFonts w:cs="Calibri"/>
                <w:bCs/>
                <w:i/>
                <w:sz w:val="20"/>
                <w:szCs w:val="20"/>
              </w:rPr>
              <w:t>Št. enot mere</w:t>
            </w:r>
          </w:p>
        </w:tc>
      </w:tr>
      <w:tr w:rsidR="00FC251A" w:rsidRPr="007E10CE" w14:paraId="1D3D522B" w14:textId="77777777" w:rsidTr="00877DA6">
        <w:trPr>
          <w:trHeight w:val="287"/>
        </w:trPr>
        <w:tc>
          <w:tcPr>
            <w:tcW w:w="709" w:type="dxa"/>
            <w:shd w:val="clear" w:color="000000" w:fill="auto"/>
            <w:vAlign w:val="bottom"/>
          </w:tcPr>
          <w:p w14:paraId="58A4B091" w14:textId="77777777" w:rsidR="00FC251A" w:rsidRPr="007E10CE" w:rsidRDefault="00FC251A" w:rsidP="00FC251A">
            <w:pPr>
              <w:rPr>
                <w:rFonts w:cs="Calibri"/>
                <w:b/>
                <w:sz w:val="20"/>
                <w:szCs w:val="20"/>
              </w:rPr>
            </w:pPr>
            <w:r w:rsidRPr="007E10CE">
              <w:rPr>
                <w:rFonts w:cs="Calibri"/>
                <w:b/>
                <w:sz w:val="20"/>
                <w:szCs w:val="20"/>
              </w:rPr>
              <w:t>E0</w:t>
            </w:r>
            <w:r>
              <w:rPr>
                <w:rFonts w:cs="Calibri"/>
                <w:b/>
                <w:sz w:val="20"/>
                <w:szCs w:val="20"/>
              </w:rPr>
              <w:t>806</w:t>
            </w:r>
          </w:p>
        </w:tc>
        <w:tc>
          <w:tcPr>
            <w:tcW w:w="2410" w:type="dxa"/>
            <w:shd w:val="clear" w:color="000000" w:fill="auto"/>
            <w:vAlign w:val="bottom"/>
          </w:tcPr>
          <w:p w14:paraId="411694B3" w14:textId="77777777" w:rsidR="00FC251A" w:rsidRPr="007E10CE" w:rsidRDefault="00FC251A" w:rsidP="00FC251A">
            <w:pPr>
              <w:rPr>
                <w:rFonts w:cs="Calibri"/>
                <w:b/>
                <w:color w:val="000000"/>
                <w:sz w:val="20"/>
                <w:szCs w:val="20"/>
              </w:rPr>
            </w:pPr>
            <w:r w:rsidRPr="007E10CE">
              <w:rPr>
                <w:rFonts w:cs="Calibri"/>
                <w:b/>
                <w:color w:val="000000"/>
                <w:sz w:val="20"/>
                <w:szCs w:val="20"/>
              </w:rPr>
              <w:t xml:space="preserve">Izdaja </w:t>
            </w:r>
            <w:r>
              <w:rPr>
                <w:rFonts w:cs="Calibri"/>
                <w:b/>
                <w:color w:val="000000"/>
                <w:sz w:val="20"/>
                <w:szCs w:val="20"/>
              </w:rPr>
              <w:t>20</w:t>
            </w:r>
            <w:r w:rsidRPr="007E10CE">
              <w:rPr>
                <w:rFonts w:cs="Calibri"/>
                <w:b/>
                <w:color w:val="000000"/>
                <w:sz w:val="20"/>
                <w:szCs w:val="20"/>
              </w:rPr>
              <w:t xml:space="preserve"> HAG testov za </w:t>
            </w:r>
            <w:proofErr w:type="spellStart"/>
            <w:r w:rsidRPr="007E10CE">
              <w:rPr>
                <w:rFonts w:cs="Calibri"/>
                <w:b/>
                <w:color w:val="000000"/>
                <w:sz w:val="20"/>
                <w:szCs w:val="20"/>
              </w:rPr>
              <w:t>samotestiranje</w:t>
            </w:r>
            <w:proofErr w:type="spellEnd"/>
            <w:r w:rsidRPr="007E10CE">
              <w:rPr>
                <w:rFonts w:cs="Calibri"/>
                <w:b/>
                <w:color w:val="000000"/>
                <w:sz w:val="20"/>
                <w:szCs w:val="20"/>
              </w:rPr>
              <w:t xml:space="preserve"> na SARS-</w:t>
            </w:r>
            <w:proofErr w:type="spellStart"/>
            <w:r w:rsidRPr="007E10CE">
              <w:rPr>
                <w:rFonts w:cs="Calibri"/>
                <w:b/>
                <w:color w:val="000000"/>
                <w:sz w:val="20"/>
                <w:szCs w:val="20"/>
              </w:rPr>
              <w:t>Cov</w:t>
            </w:r>
            <w:proofErr w:type="spellEnd"/>
            <w:r w:rsidRPr="007E10CE">
              <w:rPr>
                <w:rFonts w:cs="Calibri"/>
                <w:b/>
                <w:color w:val="000000"/>
                <w:sz w:val="20"/>
                <w:szCs w:val="20"/>
              </w:rPr>
              <w:t>-2</w:t>
            </w:r>
          </w:p>
        </w:tc>
        <w:tc>
          <w:tcPr>
            <w:tcW w:w="4111" w:type="dxa"/>
            <w:shd w:val="clear" w:color="000000" w:fill="auto"/>
            <w:vAlign w:val="bottom"/>
          </w:tcPr>
          <w:p w14:paraId="1A5371B1" w14:textId="77777777" w:rsidR="00FC251A" w:rsidRPr="007E10CE" w:rsidRDefault="00FC251A" w:rsidP="00FC251A">
            <w:pPr>
              <w:rPr>
                <w:rFonts w:cs="Calibri"/>
                <w:b/>
                <w:color w:val="000000"/>
                <w:sz w:val="20"/>
                <w:szCs w:val="20"/>
              </w:rPr>
            </w:pPr>
            <w:r w:rsidRPr="007E10CE">
              <w:rPr>
                <w:rFonts w:cs="Calibri"/>
                <w:b/>
                <w:color w:val="000000"/>
                <w:sz w:val="20"/>
                <w:szCs w:val="20"/>
              </w:rPr>
              <w:t xml:space="preserve">Izdaja </w:t>
            </w:r>
            <w:r>
              <w:rPr>
                <w:rFonts w:cs="Calibri"/>
                <w:b/>
                <w:color w:val="000000"/>
                <w:sz w:val="20"/>
                <w:szCs w:val="20"/>
              </w:rPr>
              <w:t>dvajsetih</w:t>
            </w:r>
            <w:r w:rsidRPr="007E10CE">
              <w:rPr>
                <w:rFonts w:cs="Calibri"/>
                <w:b/>
                <w:color w:val="000000"/>
                <w:sz w:val="20"/>
                <w:szCs w:val="20"/>
              </w:rPr>
              <w:t xml:space="preserve"> hitrih antigenskih testov (HAG test) za </w:t>
            </w:r>
            <w:proofErr w:type="spellStart"/>
            <w:r w:rsidRPr="007E10CE">
              <w:rPr>
                <w:rFonts w:cs="Calibri"/>
                <w:b/>
                <w:color w:val="000000"/>
                <w:sz w:val="20"/>
                <w:szCs w:val="20"/>
              </w:rPr>
              <w:t>samotestiranje</w:t>
            </w:r>
            <w:proofErr w:type="spellEnd"/>
            <w:r w:rsidRPr="007E10CE">
              <w:rPr>
                <w:rFonts w:cs="Calibri"/>
                <w:b/>
                <w:color w:val="000000"/>
                <w:sz w:val="20"/>
                <w:szCs w:val="20"/>
              </w:rPr>
              <w:t xml:space="preserve"> na virus SARS-</w:t>
            </w:r>
            <w:proofErr w:type="spellStart"/>
            <w:r w:rsidRPr="007E10CE">
              <w:rPr>
                <w:rFonts w:cs="Calibri"/>
                <w:b/>
                <w:color w:val="000000"/>
                <w:sz w:val="20"/>
                <w:szCs w:val="20"/>
              </w:rPr>
              <w:t>Cov</w:t>
            </w:r>
            <w:proofErr w:type="spellEnd"/>
            <w:r w:rsidRPr="007E10CE">
              <w:rPr>
                <w:rFonts w:cs="Calibri"/>
                <w:b/>
                <w:color w:val="000000"/>
                <w:sz w:val="20"/>
                <w:szCs w:val="20"/>
              </w:rPr>
              <w:t>-</w:t>
            </w:r>
            <w:proofErr w:type="gramStart"/>
            <w:r w:rsidRPr="007E10CE">
              <w:rPr>
                <w:rFonts w:cs="Calibri"/>
                <w:b/>
                <w:color w:val="000000"/>
                <w:sz w:val="20"/>
                <w:szCs w:val="20"/>
              </w:rPr>
              <w:t xml:space="preserve">2  </w:t>
            </w:r>
            <w:proofErr w:type="gramEnd"/>
            <w:r w:rsidRPr="007534FF">
              <w:rPr>
                <w:rFonts w:cs="Calibri"/>
                <w:b/>
                <w:color w:val="000000"/>
                <w:sz w:val="20"/>
                <w:szCs w:val="20"/>
              </w:rPr>
              <w:t>- ne glede na velikost pakiranja</w:t>
            </w:r>
          </w:p>
        </w:tc>
        <w:tc>
          <w:tcPr>
            <w:tcW w:w="1275" w:type="dxa"/>
            <w:shd w:val="clear" w:color="000000" w:fill="auto"/>
            <w:vAlign w:val="bottom"/>
          </w:tcPr>
          <w:p w14:paraId="0E3D64E7" w14:textId="77777777" w:rsidR="00FC251A" w:rsidRPr="007E10CE" w:rsidRDefault="00FC251A" w:rsidP="00FC251A">
            <w:pPr>
              <w:rPr>
                <w:rFonts w:cs="Calibri"/>
                <w:b/>
                <w:sz w:val="20"/>
                <w:szCs w:val="20"/>
              </w:rPr>
            </w:pPr>
            <w:r w:rsidRPr="007E10CE">
              <w:rPr>
                <w:rFonts w:cs="Calibri"/>
                <w:b/>
                <w:sz w:val="20"/>
                <w:szCs w:val="20"/>
              </w:rPr>
              <w:t>Točka</w:t>
            </w:r>
          </w:p>
        </w:tc>
        <w:tc>
          <w:tcPr>
            <w:tcW w:w="851" w:type="dxa"/>
            <w:shd w:val="clear" w:color="000000" w:fill="auto"/>
            <w:vAlign w:val="bottom"/>
          </w:tcPr>
          <w:p w14:paraId="64549DF9" w14:textId="77777777" w:rsidR="00FC251A" w:rsidRPr="007E10CE" w:rsidRDefault="00FC251A" w:rsidP="00FC251A">
            <w:pPr>
              <w:jc w:val="center"/>
              <w:rPr>
                <w:rFonts w:cs="Calibri"/>
                <w:b/>
                <w:sz w:val="20"/>
                <w:szCs w:val="20"/>
              </w:rPr>
            </w:pPr>
            <w:r>
              <w:rPr>
                <w:rFonts w:cs="Calibri"/>
                <w:b/>
                <w:sz w:val="20"/>
                <w:szCs w:val="20"/>
              </w:rPr>
              <w:t>1,75</w:t>
            </w:r>
          </w:p>
        </w:tc>
      </w:tr>
    </w:tbl>
    <w:p w14:paraId="548606FF" w14:textId="77777777" w:rsidR="00FC251A" w:rsidRDefault="00FC251A" w:rsidP="00FC251A">
      <w:pPr>
        <w:rPr>
          <w:rFonts w:cs="Calibri"/>
          <w:sz w:val="20"/>
          <w:szCs w:val="20"/>
        </w:rPr>
      </w:pPr>
    </w:p>
    <w:p w14:paraId="34C75A80" w14:textId="4D3B791A" w:rsidR="00FC251A" w:rsidRPr="00483132" w:rsidRDefault="00FC251A" w:rsidP="00483132">
      <w:pPr>
        <w:pStyle w:val="Odstavekseznama"/>
        <w:ind w:left="0"/>
        <w:contextualSpacing/>
        <w:jc w:val="both"/>
        <w:rPr>
          <w:rFonts w:ascii="Calibri" w:hAnsi="Calibri" w:cs="Calibri"/>
          <w:sz w:val="22"/>
          <w:szCs w:val="22"/>
        </w:rPr>
      </w:pPr>
      <w:r w:rsidRPr="00483132">
        <w:rPr>
          <w:rFonts w:ascii="Calibri" w:hAnsi="Calibri" w:cs="Calibri"/>
          <w:sz w:val="22"/>
          <w:szCs w:val="22"/>
        </w:rPr>
        <w:t xml:space="preserve">Za </w:t>
      </w:r>
      <w:r w:rsidR="00853ABB">
        <w:rPr>
          <w:rFonts w:ascii="Calibri" w:hAnsi="Calibri" w:cs="Calibri"/>
          <w:sz w:val="22"/>
          <w:szCs w:val="22"/>
        </w:rPr>
        <w:t>storitev</w:t>
      </w:r>
      <w:r w:rsidRPr="00483132">
        <w:rPr>
          <w:rFonts w:ascii="Calibri" w:hAnsi="Calibri" w:cs="Calibri"/>
          <w:sz w:val="22"/>
          <w:szCs w:val="22"/>
        </w:rPr>
        <w:t xml:space="preserve"> veljajo naslednji podrobni podatki:</w:t>
      </w:r>
    </w:p>
    <w:p w14:paraId="5EE7AF9F" w14:textId="5935096D" w:rsidR="00FC251A" w:rsidRPr="00483132" w:rsidRDefault="00FC251A" w:rsidP="00483132">
      <w:pPr>
        <w:pStyle w:val="Odstavekseznama"/>
        <w:ind w:left="0"/>
        <w:contextualSpacing/>
        <w:jc w:val="both"/>
        <w:rPr>
          <w:rFonts w:ascii="Calibri" w:hAnsi="Calibri" w:cs="Calibri"/>
          <w:sz w:val="22"/>
          <w:szCs w:val="22"/>
        </w:rPr>
      </w:pPr>
      <w:r w:rsidRPr="00483132">
        <w:rPr>
          <w:rFonts w:ascii="Calibri" w:hAnsi="Calibri" w:cs="Calibri"/>
          <w:sz w:val="22"/>
          <w:szCs w:val="22"/>
        </w:rPr>
        <w:t>Oznaka količine:</w:t>
      </w:r>
      <w:r w:rsidRPr="00483132">
        <w:rPr>
          <w:rFonts w:ascii="Calibri" w:hAnsi="Calibri" w:cs="Calibri"/>
          <w:sz w:val="22"/>
          <w:szCs w:val="22"/>
        </w:rPr>
        <w:tab/>
      </w:r>
      <w:r w:rsidRPr="00483132">
        <w:rPr>
          <w:rFonts w:ascii="Calibri" w:hAnsi="Calibri" w:cs="Calibri"/>
          <w:sz w:val="22"/>
          <w:szCs w:val="22"/>
        </w:rPr>
        <w:tab/>
      </w:r>
      <w:r w:rsidR="00483132">
        <w:rPr>
          <w:rFonts w:ascii="Calibri" w:hAnsi="Calibri" w:cs="Calibri"/>
          <w:sz w:val="22"/>
          <w:szCs w:val="22"/>
        </w:rPr>
        <w:tab/>
      </w:r>
      <w:r w:rsidRPr="00483132">
        <w:rPr>
          <w:rFonts w:ascii="Calibri" w:hAnsi="Calibri" w:cs="Calibri"/>
          <w:sz w:val="22"/>
          <w:szCs w:val="22"/>
        </w:rPr>
        <w:t>2 - dejanska količina</w:t>
      </w:r>
    </w:p>
    <w:p w14:paraId="79495FC5" w14:textId="32488661" w:rsidR="00FC251A" w:rsidRPr="00483132" w:rsidRDefault="00FC251A" w:rsidP="00483132">
      <w:pPr>
        <w:pStyle w:val="Odstavekseznama"/>
        <w:ind w:left="0"/>
        <w:contextualSpacing/>
        <w:jc w:val="both"/>
        <w:rPr>
          <w:rFonts w:ascii="Calibri" w:hAnsi="Calibri" w:cs="Calibri"/>
          <w:sz w:val="22"/>
          <w:szCs w:val="22"/>
        </w:rPr>
      </w:pPr>
      <w:r w:rsidRPr="00483132">
        <w:rPr>
          <w:rFonts w:ascii="Calibri" w:hAnsi="Calibri" w:cs="Calibri"/>
          <w:sz w:val="22"/>
          <w:szCs w:val="22"/>
        </w:rPr>
        <w:t>Oznaka cene:</w:t>
      </w:r>
      <w:r w:rsidRPr="00483132">
        <w:rPr>
          <w:rFonts w:ascii="Calibri" w:hAnsi="Calibri" w:cs="Calibri"/>
          <w:sz w:val="22"/>
          <w:szCs w:val="22"/>
        </w:rPr>
        <w:tab/>
      </w:r>
      <w:r w:rsidRPr="00483132">
        <w:rPr>
          <w:rFonts w:ascii="Calibri" w:hAnsi="Calibri" w:cs="Calibri"/>
          <w:sz w:val="22"/>
          <w:szCs w:val="22"/>
        </w:rPr>
        <w:tab/>
      </w:r>
      <w:r w:rsidR="00483132">
        <w:rPr>
          <w:rFonts w:ascii="Calibri" w:hAnsi="Calibri" w:cs="Calibri"/>
          <w:sz w:val="22"/>
          <w:szCs w:val="22"/>
        </w:rPr>
        <w:tab/>
      </w:r>
      <w:r w:rsidR="00483132">
        <w:rPr>
          <w:rFonts w:ascii="Calibri" w:hAnsi="Calibri" w:cs="Calibri"/>
          <w:sz w:val="22"/>
          <w:szCs w:val="22"/>
        </w:rPr>
        <w:tab/>
      </w:r>
      <w:r w:rsidRPr="00483132">
        <w:rPr>
          <w:rFonts w:ascii="Calibri" w:hAnsi="Calibri" w:cs="Calibri"/>
          <w:sz w:val="22"/>
          <w:szCs w:val="22"/>
        </w:rPr>
        <w:t>3 - cena je enaka ceni v ceniku</w:t>
      </w:r>
    </w:p>
    <w:p w14:paraId="0EEBEFD2" w14:textId="23580398" w:rsidR="00FC251A" w:rsidRPr="00483132" w:rsidRDefault="00FC251A" w:rsidP="00483132">
      <w:pPr>
        <w:pStyle w:val="Odstavekseznama"/>
        <w:ind w:left="0"/>
        <w:contextualSpacing/>
        <w:jc w:val="both"/>
        <w:rPr>
          <w:rFonts w:ascii="Calibri" w:hAnsi="Calibri" w:cs="Calibri"/>
          <w:sz w:val="22"/>
          <w:szCs w:val="22"/>
        </w:rPr>
      </w:pPr>
      <w:r w:rsidRPr="00483132">
        <w:rPr>
          <w:rFonts w:ascii="Calibri" w:hAnsi="Calibri" w:cs="Calibri"/>
          <w:sz w:val="22"/>
          <w:szCs w:val="22"/>
        </w:rPr>
        <w:t>Evidenčna storitev:</w:t>
      </w:r>
      <w:r w:rsidRPr="00483132">
        <w:rPr>
          <w:rFonts w:ascii="Calibri" w:hAnsi="Calibri" w:cs="Calibri"/>
          <w:sz w:val="22"/>
          <w:szCs w:val="22"/>
        </w:rPr>
        <w:tab/>
      </w:r>
      <w:r w:rsidRPr="00483132">
        <w:rPr>
          <w:rFonts w:ascii="Calibri" w:hAnsi="Calibri" w:cs="Calibri"/>
          <w:sz w:val="22"/>
          <w:szCs w:val="22"/>
        </w:rPr>
        <w:tab/>
      </w:r>
      <w:r w:rsidR="00483132">
        <w:rPr>
          <w:rFonts w:ascii="Calibri" w:hAnsi="Calibri" w:cs="Calibri"/>
          <w:sz w:val="22"/>
          <w:szCs w:val="22"/>
        </w:rPr>
        <w:tab/>
      </w:r>
      <w:r w:rsidRPr="00483132">
        <w:rPr>
          <w:rFonts w:ascii="Calibri" w:hAnsi="Calibri" w:cs="Calibri"/>
          <w:sz w:val="22"/>
          <w:szCs w:val="22"/>
        </w:rPr>
        <w:t>Ne</w:t>
      </w:r>
    </w:p>
    <w:p w14:paraId="0C5C0A75" w14:textId="32FF4542" w:rsidR="00FC251A" w:rsidRPr="00483132" w:rsidRDefault="00FC251A" w:rsidP="00483132">
      <w:pPr>
        <w:pStyle w:val="Odstavekseznama"/>
        <w:ind w:left="0"/>
        <w:contextualSpacing/>
        <w:jc w:val="both"/>
        <w:rPr>
          <w:rFonts w:ascii="Calibri" w:hAnsi="Calibri" w:cs="Calibri"/>
          <w:sz w:val="22"/>
          <w:szCs w:val="22"/>
        </w:rPr>
      </w:pPr>
      <w:r w:rsidRPr="00483132">
        <w:rPr>
          <w:rFonts w:ascii="Calibri" w:hAnsi="Calibri" w:cs="Calibri"/>
          <w:sz w:val="22"/>
          <w:szCs w:val="22"/>
        </w:rPr>
        <w:t>Tip storitve:</w:t>
      </w:r>
      <w:r w:rsidRPr="00483132">
        <w:rPr>
          <w:rFonts w:ascii="Calibri" w:hAnsi="Calibri" w:cs="Calibri"/>
          <w:sz w:val="22"/>
          <w:szCs w:val="22"/>
        </w:rPr>
        <w:tab/>
      </w:r>
      <w:r w:rsidRPr="00483132">
        <w:rPr>
          <w:rFonts w:ascii="Calibri" w:hAnsi="Calibri" w:cs="Calibri"/>
          <w:sz w:val="22"/>
          <w:szCs w:val="22"/>
        </w:rPr>
        <w:tab/>
      </w:r>
      <w:r w:rsidR="00483132">
        <w:rPr>
          <w:rFonts w:ascii="Calibri" w:hAnsi="Calibri" w:cs="Calibri"/>
          <w:sz w:val="22"/>
          <w:szCs w:val="22"/>
        </w:rPr>
        <w:tab/>
      </w:r>
      <w:r w:rsidR="00483132">
        <w:rPr>
          <w:rFonts w:ascii="Calibri" w:hAnsi="Calibri" w:cs="Calibri"/>
          <w:sz w:val="22"/>
          <w:szCs w:val="22"/>
        </w:rPr>
        <w:tab/>
      </w:r>
      <w:r w:rsidRPr="00483132">
        <w:rPr>
          <w:rFonts w:ascii="Calibri" w:hAnsi="Calibri" w:cs="Calibri"/>
          <w:sz w:val="22"/>
          <w:szCs w:val="22"/>
        </w:rPr>
        <w:t xml:space="preserve">9 </w:t>
      </w:r>
      <w:proofErr w:type="gramStart"/>
      <w:r w:rsidRPr="00483132">
        <w:rPr>
          <w:rFonts w:ascii="Calibri" w:hAnsi="Calibri" w:cs="Calibri"/>
          <w:sz w:val="22"/>
          <w:szCs w:val="22"/>
        </w:rPr>
        <w:t>EME</w:t>
      </w:r>
      <w:proofErr w:type="gramEnd"/>
    </w:p>
    <w:p w14:paraId="4209E2B3" w14:textId="4D81F49C" w:rsidR="00FC251A" w:rsidRPr="00483132" w:rsidRDefault="00FC251A" w:rsidP="00483132">
      <w:pPr>
        <w:pStyle w:val="Odstavekseznama"/>
        <w:ind w:left="0"/>
        <w:contextualSpacing/>
        <w:jc w:val="both"/>
        <w:rPr>
          <w:rFonts w:ascii="Calibri" w:hAnsi="Calibri" w:cs="Calibri"/>
          <w:sz w:val="22"/>
          <w:szCs w:val="22"/>
        </w:rPr>
      </w:pPr>
      <w:r w:rsidRPr="00483132">
        <w:rPr>
          <w:rFonts w:ascii="Calibri" w:hAnsi="Calibri" w:cs="Calibri"/>
          <w:sz w:val="22"/>
          <w:szCs w:val="22"/>
        </w:rPr>
        <w:t>Nivo planiranja:</w:t>
      </w:r>
      <w:r w:rsidRPr="00483132">
        <w:rPr>
          <w:rFonts w:ascii="Calibri" w:hAnsi="Calibri" w:cs="Calibri"/>
          <w:sz w:val="22"/>
          <w:szCs w:val="22"/>
        </w:rPr>
        <w:tab/>
      </w:r>
      <w:r w:rsidRPr="00483132">
        <w:rPr>
          <w:rFonts w:ascii="Calibri" w:hAnsi="Calibri" w:cs="Calibri"/>
          <w:sz w:val="22"/>
          <w:szCs w:val="22"/>
        </w:rPr>
        <w:tab/>
      </w:r>
      <w:r w:rsidR="00483132">
        <w:rPr>
          <w:rFonts w:ascii="Calibri" w:hAnsi="Calibri" w:cs="Calibri"/>
          <w:sz w:val="22"/>
          <w:szCs w:val="22"/>
        </w:rPr>
        <w:tab/>
      </w:r>
      <w:r w:rsidR="00483132">
        <w:rPr>
          <w:rFonts w:ascii="Calibri" w:hAnsi="Calibri" w:cs="Calibri"/>
          <w:sz w:val="22"/>
          <w:szCs w:val="22"/>
        </w:rPr>
        <w:tab/>
      </w:r>
      <w:r w:rsidRPr="00483132">
        <w:rPr>
          <w:rFonts w:ascii="Calibri" w:hAnsi="Calibri" w:cs="Calibri"/>
          <w:sz w:val="22"/>
          <w:szCs w:val="22"/>
        </w:rPr>
        <w:t>-</w:t>
      </w:r>
    </w:p>
    <w:p w14:paraId="104ACFB6" w14:textId="77777777" w:rsidR="00FC251A" w:rsidRPr="009728A1" w:rsidRDefault="00FC251A" w:rsidP="00FC251A">
      <w:pPr>
        <w:rPr>
          <w:rFonts w:cs="Calibri"/>
        </w:rPr>
      </w:pPr>
    </w:p>
    <w:p w14:paraId="210F3510" w14:textId="77777777" w:rsidR="00FC251A" w:rsidRPr="009728A1" w:rsidRDefault="00FC251A" w:rsidP="00FC251A">
      <w:pPr>
        <w:pStyle w:val="Odstavekseznama"/>
        <w:numPr>
          <w:ilvl w:val="0"/>
          <w:numId w:val="4"/>
        </w:numPr>
        <w:autoSpaceDE w:val="0"/>
        <w:autoSpaceDN w:val="0"/>
        <w:adjustRightInd w:val="0"/>
        <w:contextualSpacing/>
        <w:jc w:val="both"/>
        <w:rPr>
          <w:rFonts w:ascii="Calibri" w:hAnsi="Calibri" w:cs="Calibri"/>
          <w:sz w:val="22"/>
          <w:szCs w:val="22"/>
        </w:rPr>
      </w:pPr>
      <w:r>
        <w:rPr>
          <w:rFonts w:ascii="Calibri" w:hAnsi="Calibri" w:cs="Calibri"/>
          <w:sz w:val="22"/>
          <w:szCs w:val="22"/>
        </w:rPr>
        <w:t>P</w:t>
      </w:r>
      <w:r w:rsidRPr="009728A1">
        <w:rPr>
          <w:rFonts w:ascii="Calibri" w:hAnsi="Calibri" w:cs="Calibri"/>
          <w:sz w:val="22"/>
          <w:szCs w:val="22"/>
        </w:rPr>
        <w:t xml:space="preserve">ovezovalni šifrant </w:t>
      </w:r>
      <w:proofErr w:type="gramStart"/>
      <w:r w:rsidRPr="009728A1">
        <w:rPr>
          <w:rFonts w:ascii="Calibri" w:hAnsi="Calibri" w:cs="Calibri"/>
          <w:sz w:val="22"/>
          <w:szCs w:val="22"/>
        </w:rPr>
        <w:t>K1</w:t>
      </w:r>
      <w:proofErr w:type="gramEnd"/>
      <w:r w:rsidRPr="009728A1">
        <w:rPr>
          <w:rFonts w:ascii="Calibri" w:hAnsi="Calibri" w:cs="Calibri"/>
          <w:sz w:val="22"/>
          <w:szCs w:val="22"/>
        </w:rPr>
        <w:t xml:space="preserve"> »Vrste zdravstvene dejavnosti in storitve za obračun«:</w:t>
      </w:r>
    </w:p>
    <w:tbl>
      <w:tblPr>
        <w:tblW w:w="485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46"/>
        <w:gridCol w:w="550"/>
        <w:gridCol w:w="4918"/>
        <w:gridCol w:w="2161"/>
      </w:tblGrid>
      <w:tr w:rsidR="00FC251A" w:rsidRPr="009728A1" w14:paraId="2C47417C" w14:textId="77777777" w:rsidTr="00877DA6">
        <w:trPr>
          <w:trHeight w:val="270"/>
        </w:trPr>
        <w:tc>
          <w:tcPr>
            <w:tcW w:w="525" w:type="pct"/>
            <w:shd w:val="clear" w:color="auto" w:fill="auto"/>
            <w:vAlign w:val="bottom"/>
          </w:tcPr>
          <w:p w14:paraId="5F736646" w14:textId="77777777" w:rsidR="00FC251A" w:rsidRPr="009728A1" w:rsidRDefault="00FC251A" w:rsidP="00FC251A">
            <w:pPr>
              <w:jc w:val="center"/>
              <w:rPr>
                <w:rFonts w:cs="Calibri"/>
                <w:sz w:val="20"/>
                <w:szCs w:val="20"/>
              </w:rPr>
            </w:pPr>
            <w:proofErr w:type="spellStart"/>
            <w:r w:rsidRPr="00BA3A81">
              <w:rPr>
                <w:rFonts w:cs="Calibri"/>
                <w:sz w:val="20"/>
                <w:szCs w:val="20"/>
              </w:rPr>
              <w:t>O84</w:t>
            </w:r>
            <w:proofErr w:type="gramStart"/>
            <w:r w:rsidRPr="00BA3A81">
              <w:rPr>
                <w:rFonts w:cs="Calibri"/>
                <w:sz w:val="20"/>
                <w:szCs w:val="20"/>
              </w:rPr>
              <w:t>.</w:t>
            </w:r>
            <w:proofErr w:type="gramEnd"/>
            <w:r w:rsidRPr="00BA3A81">
              <w:rPr>
                <w:rFonts w:cs="Calibri"/>
                <w:sz w:val="20"/>
                <w:szCs w:val="20"/>
              </w:rPr>
              <w:t>300</w:t>
            </w:r>
            <w:proofErr w:type="spellEnd"/>
          </w:p>
        </w:tc>
        <w:tc>
          <w:tcPr>
            <w:tcW w:w="4475" w:type="pct"/>
            <w:gridSpan w:val="4"/>
            <w:shd w:val="clear" w:color="auto" w:fill="auto"/>
            <w:vAlign w:val="bottom"/>
          </w:tcPr>
          <w:p w14:paraId="692785DC" w14:textId="77777777" w:rsidR="00FC251A" w:rsidRPr="009728A1" w:rsidRDefault="00FC251A" w:rsidP="00FC251A">
            <w:pPr>
              <w:autoSpaceDE w:val="0"/>
              <w:autoSpaceDN w:val="0"/>
              <w:adjustRightInd w:val="0"/>
              <w:rPr>
                <w:rFonts w:cs="Calibri"/>
                <w:sz w:val="20"/>
                <w:szCs w:val="20"/>
              </w:rPr>
            </w:pPr>
            <w:r w:rsidRPr="00BA3A81">
              <w:rPr>
                <w:rFonts w:cs="Calibri"/>
                <w:sz w:val="20"/>
                <w:szCs w:val="20"/>
              </w:rPr>
              <w:t>Dejavnost obvezne socialne varnosti</w:t>
            </w:r>
          </w:p>
        </w:tc>
      </w:tr>
      <w:tr w:rsidR="00FC251A" w:rsidRPr="009728A1" w14:paraId="04DD1257" w14:textId="77777777" w:rsidTr="00877DA6">
        <w:trPr>
          <w:trHeight w:val="261"/>
        </w:trPr>
        <w:tc>
          <w:tcPr>
            <w:tcW w:w="525" w:type="pct"/>
            <w:shd w:val="clear" w:color="auto" w:fill="auto"/>
            <w:vAlign w:val="bottom"/>
          </w:tcPr>
          <w:p w14:paraId="44A7EF7D" w14:textId="77777777" w:rsidR="00FC251A" w:rsidRPr="009728A1" w:rsidRDefault="00FC251A" w:rsidP="00FC251A">
            <w:pPr>
              <w:rPr>
                <w:rFonts w:cs="Calibri"/>
                <w:sz w:val="20"/>
                <w:szCs w:val="20"/>
              </w:rPr>
            </w:pPr>
          </w:p>
        </w:tc>
        <w:tc>
          <w:tcPr>
            <w:tcW w:w="299" w:type="pct"/>
            <w:shd w:val="clear" w:color="auto" w:fill="auto"/>
            <w:vAlign w:val="bottom"/>
          </w:tcPr>
          <w:p w14:paraId="799B6626" w14:textId="77777777" w:rsidR="00FC251A" w:rsidRPr="009728A1" w:rsidRDefault="00FC251A" w:rsidP="00FC251A">
            <w:pPr>
              <w:rPr>
                <w:rFonts w:cs="Calibri"/>
                <w:sz w:val="20"/>
                <w:szCs w:val="20"/>
              </w:rPr>
            </w:pPr>
            <w:r w:rsidRPr="00BA3A81">
              <w:rPr>
                <w:rFonts w:cs="Calibri"/>
                <w:sz w:val="20"/>
                <w:szCs w:val="20"/>
              </w:rPr>
              <w:t>701</w:t>
            </w:r>
          </w:p>
        </w:tc>
        <w:tc>
          <w:tcPr>
            <w:tcW w:w="4176" w:type="pct"/>
            <w:gridSpan w:val="3"/>
            <w:shd w:val="clear" w:color="auto" w:fill="auto"/>
            <w:vAlign w:val="bottom"/>
          </w:tcPr>
          <w:p w14:paraId="59AAB48B" w14:textId="77777777" w:rsidR="00FC251A" w:rsidRPr="009728A1" w:rsidRDefault="00FC251A" w:rsidP="00FC251A">
            <w:pPr>
              <w:rPr>
                <w:rFonts w:cs="Calibri"/>
                <w:sz w:val="20"/>
                <w:szCs w:val="20"/>
              </w:rPr>
            </w:pPr>
            <w:r w:rsidRPr="00BA3A81">
              <w:rPr>
                <w:rFonts w:cs="Calibri"/>
                <w:sz w:val="20"/>
                <w:szCs w:val="20"/>
              </w:rPr>
              <w:t>Druge obveznosti ZZZS</w:t>
            </w:r>
          </w:p>
        </w:tc>
      </w:tr>
      <w:tr w:rsidR="00FC251A" w:rsidRPr="009728A1" w14:paraId="52FDB2A5" w14:textId="77777777" w:rsidTr="00853ABB">
        <w:trPr>
          <w:trHeight w:val="227"/>
        </w:trPr>
        <w:tc>
          <w:tcPr>
            <w:tcW w:w="525" w:type="pct"/>
            <w:shd w:val="clear" w:color="auto" w:fill="auto"/>
            <w:vAlign w:val="bottom"/>
          </w:tcPr>
          <w:p w14:paraId="30153EEA" w14:textId="77777777" w:rsidR="00FC251A" w:rsidRPr="009728A1" w:rsidRDefault="00FC251A" w:rsidP="00FC251A">
            <w:pPr>
              <w:rPr>
                <w:rFonts w:cs="Calibri"/>
                <w:sz w:val="20"/>
                <w:szCs w:val="20"/>
              </w:rPr>
            </w:pPr>
          </w:p>
        </w:tc>
        <w:tc>
          <w:tcPr>
            <w:tcW w:w="299" w:type="pct"/>
            <w:shd w:val="clear" w:color="auto" w:fill="auto"/>
            <w:vAlign w:val="bottom"/>
          </w:tcPr>
          <w:p w14:paraId="3A1B7066" w14:textId="77777777" w:rsidR="00FC251A" w:rsidRPr="009728A1" w:rsidRDefault="00FC251A" w:rsidP="00FC251A">
            <w:pPr>
              <w:rPr>
                <w:rFonts w:cs="Calibri"/>
                <w:sz w:val="20"/>
                <w:szCs w:val="20"/>
              </w:rPr>
            </w:pPr>
          </w:p>
        </w:tc>
        <w:tc>
          <w:tcPr>
            <w:tcW w:w="301" w:type="pct"/>
            <w:shd w:val="clear" w:color="auto" w:fill="auto"/>
            <w:vAlign w:val="bottom"/>
          </w:tcPr>
          <w:p w14:paraId="49B3C748" w14:textId="77777777" w:rsidR="00FC251A" w:rsidRPr="009728A1" w:rsidRDefault="00FC251A" w:rsidP="00FC251A">
            <w:pPr>
              <w:rPr>
                <w:rFonts w:cs="Calibri"/>
                <w:sz w:val="20"/>
                <w:szCs w:val="20"/>
              </w:rPr>
            </w:pPr>
            <w:r>
              <w:rPr>
                <w:rFonts w:cs="Calibri"/>
                <w:sz w:val="20"/>
                <w:szCs w:val="20"/>
              </w:rPr>
              <w:t>824</w:t>
            </w:r>
          </w:p>
        </w:tc>
        <w:tc>
          <w:tcPr>
            <w:tcW w:w="2692" w:type="pct"/>
            <w:shd w:val="clear" w:color="auto" w:fill="auto"/>
            <w:vAlign w:val="bottom"/>
          </w:tcPr>
          <w:p w14:paraId="10F0E0E9" w14:textId="77777777" w:rsidR="00FC251A" w:rsidRPr="009728A1" w:rsidRDefault="00FC251A" w:rsidP="00FC251A">
            <w:pPr>
              <w:ind w:left="2296" w:hanging="2296"/>
              <w:rPr>
                <w:rFonts w:cs="Calibri"/>
                <w:color w:val="000000"/>
                <w:sz w:val="20"/>
                <w:szCs w:val="20"/>
              </w:rPr>
            </w:pPr>
            <w:r w:rsidRPr="00047003">
              <w:rPr>
                <w:rFonts w:cs="Calibri"/>
                <w:color w:val="000000"/>
                <w:sz w:val="20"/>
                <w:szCs w:val="20"/>
              </w:rPr>
              <w:t>Povračilo proračun RS</w:t>
            </w:r>
          </w:p>
        </w:tc>
        <w:tc>
          <w:tcPr>
            <w:tcW w:w="1182" w:type="pct"/>
            <w:shd w:val="clear" w:color="auto" w:fill="auto"/>
            <w:vAlign w:val="bottom"/>
          </w:tcPr>
          <w:p w14:paraId="03F116A0" w14:textId="77777777" w:rsidR="00FC251A" w:rsidRPr="003E2CD6" w:rsidRDefault="00FC251A" w:rsidP="00853ABB">
            <w:pPr>
              <w:jc w:val="center"/>
              <w:rPr>
                <w:rFonts w:cs="Calibri"/>
                <w:sz w:val="20"/>
                <w:szCs w:val="20"/>
              </w:rPr>
            </w:pPr>
            <w:r>
              <w:rPr>
                <w:rFonts w:cs="Calibri"/>
                <w:b/>
                <w:bCs/>
                <w:sz w:val="20"/>
                <w:szCs w:val="20"/>
              </w:rPr>
              <w:t>E0806</w:t>
            </w:r>
          </w:p>
        </w:tc>
      </w:tr>
    </w:tbl>
    <w:p w14:paraId="69BB3875" w14:textId="77777777" w:rsidR="00FC251A" w:rsidRPr="009728A1" w:rsidRDefault="00FC251A" w:rsidP="00FC251A">
      <w:pPr>
        <w:autoSpaceDE w:val="0"/>
        <w:autoSpaceDN w:val="0"/>
        <w:adjustRightInd w:val="0"/>
        <w:spacing w:line="240" w:lineRule="atLeast"/>
        <w:rPr>
          <w:rFonts w:cs="Calibri"/>
          <w:b/>
          <w:bCs/>
          <w:color w:val="000000"/>
        </w:rPr>
      </w:pPr>
    </w:p>
    <w:p w14:paraId="4E71DC82" w14:textId="77777777" w:rsidR="00FC251A" w:rsidRPr="009728A1" w:rsidRDefault="00FC251A" w:rsidP="00FC251A">
      <w:pPr>
        <w:pStyle w:val="Odstavekseznama"/>
        <w:numPr>
          <w:ilvl w:val="0"/>
          <w:numId w:val="4"/>
        </w:numPr>
        <w:autoSpaceDE w:val="0"/>
        <w:autoSpaceDN w:val="0"/>
        <w:adjustRightInd w:val="0"/>
        <w:contextualSpacing/>
        <w:jc w:val="both"/>
        <w:rPr>
          <w:rFonts w:ascii="Calibri" w:hAnsi="Calibri" w:cs="Calibri"/>
          <w:sz w:val="22"/>
          <w:szCs w:val="22"/>
        </w:rPr>
      </w:pPr>
      <w:r>
        <w:rPr>
          <w:rFonts w:ascii="Calibri" w:hAnsi="Calibri" w:cs="Calibri"/>
          <w:sz w:val="22"/>
          <w:szCs w:val="22"/>
        </w:rPr>
        <w:t>P</w:t>
      </w:r>
      <w:r w:rsidRPr="009728A1">
        <w:rPr>
          <w:rFonts w:ascii="Calibri" w:hAnsi="Calibri" w:cs="Calibri"/>
          <w:sz w:val="22"/>
          <w:szCs w:val="22"/>
        </w:rPr>
        <w:t>ovezovalni šifrant K2 »VZD s storitvami glede na vrsto dokumenta po strukturi«:</w:t>
      </w:r>
    </w:p>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571"/>
        <w:gridCol w:w="571"/>
        <w:gridCol w:w="4871"/>
        <w:gridCol w:w="2214"/>
      </w:tblGrid>
      <w:tr w:rsidR="00FC251A" w:rsidRPr="009728A1" w14:paraId="72A6844D" w14:textId="77777777" w:rsidTr="00877DA6">
        <w:trPr>
          <w:trHeight w:val="227"/>
        </w:trPr>
        <w:tc>
          <w:tcPr>
            <w:tcW w:w="548" w:type="pct"/>
            <w:shd w:val="clear" w:color="auto" w:fill="auto"/>
            <w:vAlign w:val="bottom"/>
          </w:tcPr>
          <w:p w14:paraId="012558AC" w14:textId="77777777" w:rsidR="00FC251A" w:rsidRPr="009728A1" w:rsidRDefault="00FC251A" w:rsidP="00FC251A">
            <w:pPr>
              <w:rPr>
                <w:rFonts w:cs="Calibri"/>
                <w:sz w:val="20"/>
                <w:szCs w:val="20"/>
              </w:rPr>
            </w:pPr>
            <w:bookmarkStart w:id="8" w:name="_Hlk54267455"/>
          </w:p>
        </w:tc>
        <w:tc>
          <w:tcPr>
            <w:tcW w:w="3254" w:type="pct"/>
            <w:gridSpan w:val="3"/>
            <w:shd w:val="clear" w:color="auto" w:fill="auto"/>
            <w:vAlign w:val="bottom"/>
          </w:tcPr>
          <w:p w14:paraId="10C7721D" w14:textId="77777777" w:rsidR="00FC251A" w:rsidRPr="009728A1" w:rsidRDefault="00FC251A" w:rsidP="00FC251A">
            <w:pPr>
              <w:rPr>
                <w:rFonts w:cs="Calibri"/>
                <w:sz w:val="20"/>
                <w:szCs w:val="20"/>
              </w:rPr>
            </w:pPr>
          </w:p>
        </w:tc>
        <w:tc>
          <w:tcPr>
            <w:tcW w:w="1198" w:type="pct"/>
          </w:tcPr>
          <w:p w14:paraId="4E717BC8" w14:textId="77777777" w:rsidR="00FC251A" w:rsidRPr="00686B77" w:rsidRDefault="00FC251A" w:rsidP="00FC251A">
            <w:pPr>
              <w:jc w:val="center"/>
              <w:rPr>
                <w:rFonts w:cs="Calibri"/>
                <w:i/>
                <w:iCs/>
                <w:sz w:val="20"/>
                <w:szCs w:val="20"/>
              </w:rPr>
            </w:pPr>
            <w:proofErr w:type="gramStart"/>
            <w:r w:rsidRPr="00686B77">
              <w:rPr>
                <w:rFonts w:cs="Calibri"/>
                <w:i/>
                <w:iCs/>
                <w:sz w:val="20"/>
                <w:szCs w:val="20"/>
              </w:rPr>
              <w:t>VD</w:t>
            </w:r>
            <w:proofErr w:type="gramEnd"/>
            <w:r w:rsidRPr="00686B77">
              <w:rPr>
                <w:rFonts w:cs="Calibri"/>
                <w:i/>
                <w:iCs/>
                <w:sz w:val="20"/>
                <w:szCs w:val="20"/>
              </w:rPr>
              <w:t xml:space="preserve"> 1-3   </w:t>
            </w:r>
            <w:r>
              <w:rPr>
                <w:rFonts w:cs="Calibri"/>
                <w:i/>
                <w:iCs/>
                <w:sz w:val="20"/>
                <w:szCs w:val="20"/>
              </w:rPr>
              <w:t xml:space="preserve"> </w:t>
            </w:r>
            <w:r w:rsidRPr="00686B77">
              <w:rPr>
                <w:rFonts w:cs="Calibri"/>
                <w:i/>
                <w:iCs/>
                <w:sz w:val="20"/>
                <w:szCs w:val="20"/>
              </w:rPr>
              <w:t>PGO</w:t>
            </w:r>
          </w:p>
        </w:tc>
      </w:tr>
      <w:tr w:rsidR="00FC251A" w:rsidRPr="009728A1" w14:paraId="26838879" w14:textId="77777777" w:rsidTr="00877DA6">
        <w:trPr>
          <w:trHeight w:val="227"/>
        </w:trPr>
        <w:tc>
          <w:tcPr>
            <w:tcW w:w="548" w:type="pct"/>
            <w:shd w:val="clear" w:color="auto" w:fill="auto"/>
            <w:vAlign w:val="bottom"/>
          </w:tcPr>
          <w:p w14:paraId="792E81FE" w14:textId="77777777" w:rsidR="00FC251A" w:rsidRPr="009728A1" w:rsidRDefault="00FC251A" w:rsidP="00FC251A">
            <w:pPr>
              <w:rPr>
                <w:rFonts w:cs="Calibri"/>
                <w:sz w:val="20"/>
                <w:szCs w:val="20"/>
              </w:rPr>
            </w:pPr>
            <w:proofErr w:type="spellStart"/>
            <w:r w:rsidRPr="00BA3A81">
              <w:rPr>
                <w:rFonts w:cs="Calibri"/>
                <w:sz w:val="20"/>
                <w:szCs w:val="20"/>
              </w:rPr>
              <w:t>O84</w:t>
            </w:r>
            <w:proofErr w:type="gramStart"/>
            <w:r w:rsidRPr="00BA3A81">
              <w:rPr>
                <w:rFonts w:cs="Calibri"/>
                <w:sz w:val="20"/>
                <w:szCs w:val="20"/>
              </w:rPr>
              <w:t>.</w:t>
            </w:r>
            <w:proofErr w:type="gramEnd"/>
            <w:r w:rsidRPr="00BA3A81">
              <w:rPr>
                <w:rFonts w:cs="Calibri"/>
                <w:sz w:val="20"/>
                <w:szCs w:val="20"/>
              </w:rPr>
              <w:t>300</w:t>
            </w:r>
            <w:proofErr w:type="spellEnd"/>
          </w:p>
        </w:tc>
        <w:tc>
          <w:tcPr>
            <w:tcW w:w="3254" w:type="pct"/>
            <w:gridSpan w:val="3"/>
            <w:shd w:val="clear" w:color="auto" w:fill="auto"/>
            <w:vAlign w:val="bottom"/>
          </w:tcPr>
          <w:p w14:paraId="083DEF94" w14:textId="77777777" w:rsidR="00FC251A" w:rsidRPr="009728A1" w:rsidRDefault="00FC251A" w:rsidP="00FC251A">
            <w:pPr>
              <w:rPr>
                <w:rFonts w:cs="Calibri"/>
                <w:sz w:val="20"/>
                <w:szCs w:val="20"/>
              </w:rPr>
            </w:pPr>
            <w:r w:rsidRPr="00BA3A81">
              <w:rPr>
                <w:rFonts w:cs="Calibri"/>
                <w:sz w:val="20"/>
                <w:szCs w:val="20"/>
              </w:rPr>
              <w:t>Dejavnost obvezne socialne varnosti</w:t>
            </w:r>
          </w:p>
        </w:tc>
        <w:tc>
          <w:tcPr>
            <w:tcW w:w="1198" w:type="pct"/>
          </w:tcPr>
          <w:p w14:paraId="4B1CAF72" w14:textId="77777777" w:rsidR="00FC251A" w:rsidRPr="009728A1" w:rsidRDefault="00FC251A" w:rsidP="00FC251A">
            <w:pPr>
              <w:rPr>
                <w:rFonts w:cs="Calibri"/>
                <w:sz w:val="20"/>
                <w:szCs w:val="20"/>
              </w:rPr>
            </w:pPr>
          </w:p>
        </w:tc>
      </w:tr>
      <w:tr w:rsidR="00FC251A" w:rsidRPr="009728A1" w14:paraId="1B18F86B" w14:textId="77777777" w:rsidTr="00877DA6">
        <w:trPr>
          <w:trHeight w:val="227"/>
        </w:trPr>
        <w:tc>
          <w:tcPr>
            <w:tcW w:w="548" w:type="pct"/>
            <w:shd w:val="clear" w:color="auto" w:fill="auto"/>
            <w:vAlign w:val="bottom"/>
          </w:tcPr>
          <w:p w14:paraId="1F175E8E" w14:textId="77777777" w:rsidR="00FC251A" w:rsidRPr="009728A1" w:rsidRDefault="00FC251A" w:rsidP="00FC251A">
            <w:pPr>
              <w:rPr>
                <w:rFonts w:cs="Calibri"/>
                <w:sz w:val="20"/>
                <w:szCs w:val="20"/>
              </w:rPr>
            </w:pPr>
          </w:p>
        </w:tc>
        <w:tc>
          <w:tcPr>
            <w:tcW w:w="309" w:type="pct"/>
            <w:shd w:val="clear" w:color="auto" w:fill="auto"/>
            <w:vAlign w:val="bottom"/>
          </w:tcPr>
          <w:p w14:paraId="5E9323D5" w14:textId="77777777" w:rsidR="00FC251A" w:rsidRPr="009728A1" w:rsidRDefault="00FC251A" w:rsidP="00FC251A">
            <w:pPr>
              <w:jc w:val="right"/>
              <w:rPr>
                <w:rFonts w:cs="Calibri"/>
                <w:sz w:val="20"/>
                <w:szCs w:val="20"/>
              </w:rPr>
            </w:pPr>
            <w:r w:rsidRPr="00BA3A81">
              <w:rPr>
                <w:rFonts w:cs="Calibri"/>
                <w:sz w:val="20"/>
                <w:szCs w:val="20"/>
              </w:rPr>
              <w:t>701</w:t>
            </w:r>
          </w:p>
        </w:tc>
        <w:tc>
          <w:tcPr>
            <w:tcW w:w="2945" w:type="pct"/>
            <w:gridSpan w:val="2"/>
            <w:shd w:val="clear" w:color="auto" w:fill="auto"/>
            <w:vAlign w:val="bottom"/>
          </w:tcPr>
          <w:p w14:paraId="4DD28FB3" w14:textId="77777777" w:rsidR="00FC251A" w:rsidRPr="009728A1" w:rsidRDefault="00FC251A" w:rsidP="00FC251A">
            <w:pPr>
              <w:rPr>
                <w:rFonts w:cs="Calibri"/>
                <w:sz w:val="20"/>
                <w:szCs w:val="20"/>
              </w:rPr>
            </w:pPr>
            <w:r w:rsidRPr="00BA3A81">
              <w:rPr>
                <w:rFonts w:cs="Calibri"/>
                <w:sz w:val="20"/>
                <w:szCs w:val="20"/>
              </w:rPr>
              <w:t>Druge obveznosti ZZZS</w:t>
            </w:r>
          </w:p>
        </w:tc>
        <w:tc>
          <w:tcPr>
            <w:tcW w:w="1198" w:type="pct"/>
          </w:tcPr>
          <w:p w14:paraId="21DFA065" w14:textId="77777777" w:rsidR="00FC251A" w:rsidRPr="009728A1" w:rsidRDefault="00FC251A" w:rsidP="00FC251A">
            <w:pPr>
              <w:rPr>
                <w:rFonts w:cs="Calibri"/>
                <w:sz w:val="20"/>
                <w:szCs w:val="20"/>
              </w:rPr>
            </w:pPr>
          </w:p>
        </w:tc>
      </w:tr>
      <w:tr w:rsidR="00FC251A" w:rsidRPr="009728A1" w14:paraId="0A985B03" w14:textId="77777777" w:rsidTr="00877DA6">
        <w:trPr>
          <w:trHeight w:val="213"/>
        </w:trPr>
        <w:tc>
          <w:tcPr>
            <w:tcW w:w="548" w:type="pct"/>
            <w:shd w:val="clear" w:color="auto" w:fill="auto"/>
            <w:vAlign w:val="bottom"/>
          </w:tcPr>
          <w:p w14:paraId="27FEDD6A" w14:textId="77777777" w:rsidR="00FC251A" w:rsidRPr="009728A1" w:rsidRDefault="00FC251A" w:rsidP="00FC251A">
            <w:pPr>
              <w:rPr>
                <w:rFonts w:cs="Calibri"/>
                <w:sz w:val="20"/>
                <w:szCs w:val="20"/>
              </w:rPr>
            </w:pPr>
          </w:p>
        </w:tc>
        <w:tc>
          <w:tcPr>
            <w:tcW w:w="309" w:type="pct"/>
            <w:shd w:val="clear" w:color="auto" w:fill="auto"/>
            <w:vAlign w:val="bottom"/>
          </w:tcPr>
          <w:p w14:paraId="7780FC5A" w14:textId="77777777" w:rsidR="00FC251A" w:rsidRPr="009728A1" w:rsidRDefault="00FC251A" w:rsidP="00FC251A">
            <w:pPr>
              <w:rPr>
                <w:rFonts w:cs="Calibri"/>
                <w:sz w:val="20"/>
                <w:szCs w:val="20"/>
              </w:rPr>
            </w:pPr>
          </w:p>
        </w:tc>
        <w:tc>
          <w:tcPr>
            <w:tcW w:w="309" w:type="pct"/>
            <w:shd w:val="clear" w:color="auto" w:fill="auto"/>
            <w:vAlign w:val="bottom"/>
          </w:tcPr>
          <w:p w14:paraId="2A5E0886" w14:textId="77777777" w:rsidR="00FC251A" w:rsidRPr="009728A1" w:rsidRDefault="00FC251A" w:rsidP="00FC251A">
            <w:pPr>
              <w:jc w:val="right"/>
              <w:rPr>
                <w:rFonts w:cs="Calibri"/>
                <w:bCs/>
                <w:sz w:val="20"/>
                <w:szCs w:val="20"/>
              </w:rPr>
            </w:pPr>
            <w:r>
              <w:rPr>
                <w:rFonts w:cs="Calibri"/>
                <w:sz w:val="20"/>
                <w:szCs w:val="20"/>
              </w:rPr>
              <w:t>824</w:t>
            </w:r>
          </w:p>
        </w:tc>
        <w:tc>
          <w:tcPr>
            <w:tcW w:w="2636" w:type="pct"/>
            <w:shd w:val="clear" w:color="auto" w:fill="auto"/>
            <w:vAlign w:val="bottom"/>
          </w:tcPr>
          <w:p w14:paraId="7479D205" w14:textId="77777777" w:rsidR="00FC251A" w:rsidRPr="009728A1" w:rsidRDefault="00FC251A" w:rsidP="00FC251A">
            <w:pPr>
              <w:rPr>
                <w:rFonts w:cs="Calibri"/>
                <w:sz w:val="20"/>
                <w:szCs w:val="20"/>
              </w:rPr>
            </w:pPr>
            <w:r w:rsidRPr="00047003">
              <w:rPr>
                <w:rFonts w:cs="Calibri"/>
                <w:color w:val="000000"/>
                <w:sz w:val="20"/>
                <w:szCs w:val="20"/>
              </w:rPr>
              <w:t>Povračilo proračun RS</w:t>
            </w:r>
          </w:p>
        </w:tc>
        <w:tc>
          <w:tcPr>
            <w:tcW w:w="1198" w:type="pct"/>
            <w:vAlign w:val="bottom"/>
          </w:tcPr>
          <w:p w14:paraId="007B05C1" w14:textId="77777777" w:rsidR="00FC251A" w:rsidRPr="009728A1" w:rsidRDefault="00FC251A" w:rsidP="00FC251A">
            <w:pPr>
              <w:jc w:val="center"/>
              <w:rPr>
                <w:rFonts w:cs="Calibri"/>
                <w:sz w:val="20"/>
                <w:szCs w:val="20"/>
              </w:rPr>
            </w:pPr>
            <w:r>
              <w:rPr>
                <w:rFonts w:cs="Calibri"/>
                <w:b/>
                <w:bCs/>
                <w:sz w:val="20"/>
                <w:szCs w:val="20"/>
              </w:rPr>
              <w:t>E0806</w:t>
            </w:r>
          </w:p>
        </w:tc>
      </w:tr>
      <w:bookmarkEnd w:id="8"/>
    </w:tbl>
    <w:p w14:paraId="11E847C7" w14:textId="77777777" w:rsidR="00FC251A" w:rsidRPr="009728A1" w:rsidRDefault="00FC251A" w:rsidP="00FC251A">
      <w:pPr>
        <w:autoSpaceDE w:val="0"/>
        <w:autoSpaceDN w:val="0"/>
        <w:adjustRightInd w:val="0"/>
        <w:rPr>
          <w:rFonts w:cs="Calibri"/>
        </w:rPr>
      </w:pPr>
    </w:p>
    <w:p w14:paraId="1716596D" w14:textId="77777777" w:rsidR="00FC251A" w:rsidRPr="003176BB" w:rsidRDefault="00FC251A" w:rsidP="00530157">
      <w:pPr>
        <w:pStyle w:val="Odstavekseznama"/>
        <w:keepNext/>
        <w:numPr>
          <w:ilvl w:val="0"/>
          <w:numId w:val="4"/>
        </w:numPr>
        <w:autoSpaceDE w:val="0"/>
        <w:autoSpaceDN w:val="0"/>
        <w:adjustRightInd w:val="0"/>
        <w:contextualSpacing/>
        <w:jc w:val="both"/>
        <w:rPr>
          <w:rFonts w:ascii="Calibri" w:hAnsi="Calibri" w:cs="Calibri"/>
          <w:sz w:val="22"/>
          <w:szCs w:val="22"/>
        </w:rPr>
      </w:pPr>
      <w:r>
        <w:rPr>
          <w:rFonts w:ascii="Calibri" w:hAnsi="Calibri" w:cs="Calibri"/>
          <w:sz w:val="22"/>
          <w:szCs w:val="22"/>
        </w:rPr>
        <w:lastRenderedPageBreak/>
        <w:t>P</w:t>
      </w:r>
      <w:r w:rsidRPr="009728A1">
        <w:rPr>
          <w:rFonts w:ascii="Calibri" w:hAnsi="Calibri" w:cs="Calibri"/>
          <w:sz w:val="22"/>
          <w:szCs w:val="22"/>
        </w:rPr>
        <w:t xml:space="preserve">ovezovalni šifrant </w:t>
      </w:r>
      <w:proofErr w:type="spellStart"/>
      <w:r w:rsidRPr="006237E4">
        <w:rPr>
          <w:rFonts w:ascii="Calibri" w:hAnsi="Calibri" w:cs="Calibri"/>
          <w:sz w:val="22"/>
          <w:szCs w:val="22"/>
        </w:rPr>
        <w:t>K5.2</w:t>
      </w:r>
      <w:proofErr w:type="spellEnd"/>
      <w:r w:rsidRPr="006237E4">
        <w:rPr>
          <w:rFonts w:ascii="Calibri" w:hAnsi="Calibri" w:cs="Calibri"/>
          <w:sz w:val="22"/>
          <w:szCs w:val="22"/>
        </w:rPr>
        <w:t xml:space="preserve"> </w:t>
      </w:r>
      <w:r w:rsidRPr="007C0D69">
        <w:rPr>
          <w:rFonts w:ascii="Calibri" w:hAnsi="Calibri" w:cs="Calibri"/>
          <w:sz w:val="22"/>
          <w:szCs w:val="22"/>
        </w:rPr>
        <w:t>»</w:t>
      </w:r>
      <w:r w:rsidRPr="006237E4">
        <w:rPr>
          <w:rFonts w:ascii="Calibri" w:hAnsi="Calibri" w:cs="Calibri"/>
          <w:sz w:val="22"/>
          <w:szCs w:val="22"/>
        </w:rPr>
        <w:t>Storitve s stopnjo DDV</w:t>
      </w:r>
      <w:r w:rsidRPr="007C0D69">
        <w:rPr>
          <w:rFonts w:ascii="Calibri" w:hAnsi="Calibri" w:cs="Calibri"/>
          <w:sz w:val="22"/>
          <w:szCs w:val="22"/>
        </w:rPr>
        <w:t>«</w:t>
      </w:r>
    </w:p>
    <w:tbl>
      <w:tblPr>
        <w:tblW w:w="5003" w:type="pct"/>
        <w:tblInd w:w="-5" w:type="dxa"/>
        <w:tblLayout w:type="fixed"/>
        <w:tblCellMar>
          <w:left w:w="70" w:type="dxa"/>
          <w:right w:w="70" w:type="dxa"/>
        </w:tblCellMar>
        <w:tblLook w:val="04A0" w:firstRow="1" w:lastRow="0" w:firstColumn="1" w:lastColumn="0" w:noHBand="0" w:noVBand="1"/>
      </w:tblPr>
      <w:tblGrid>
        <w:gridCol w:w="886"/>
        <w:gridCol w:w="674"/>
        <w:gridCol w:w="504"/>
        <w:gridCol w:w="2335"/>
        <w:gridCol w:w="1953"/>
        <w:gridCol w:w="1534"/>
        <w:gridCol w:w="1522"/>
      </w:tblGrid>
      <w:tr w:rsidR="00FC251A" w:rsidRPr="006237E4" w14:paraId="4A7CD56D" w14:textId="77777777" w:rsidTr="00877DA6">
        <w:trPr>
          <w:trHeight w:val="480"/>
        </w:trPr>
        <w:tc>
          <w:tcPr>
            <w:tcW w:w="47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F71684D" w14:textId="77777777" w:rsidR="00FC251A" w:rsidRPr="00DE497D" w:rsidRDefault="00FC251A" w:rsidP="00530157">
            <w:pPr>
              <w:keepNext/>
              <w:rPr>
                <w:rFonts w:cs="Calibri"/>
                <w:sz w:val="20"/>
                <w:szCs w:val="20"/>
              </w:rPr>
            </w:pPr>
            <w:proofErr w:type="spellStart"/>
            <w:r w:rsidRPr="00DE497D">
              <w:rPr>
                <w:rFonts w:cs="Calibri"/>
                <w:sz w:val="20"/>
                <w:szCs w:val="20"/>
              </w:rPr>
              <w:t>O84</w:t>
            </w:r>
            <w:proofErr w:type="gramStart"/>
            <w:r w:rsidRPr="00DE497D">
              <w:rPr>
                <w:rFonts w:cs="Calibri"/>
                <w:sz w:val="20"/>
                <w:szCs w:val="20"/>
              </w:rPr>
              <w:t>.</w:t>
            </w:r>
            <w:proofErr w:type="gramEnd"/>
            <w:r w:rsidRPr="00DE497D">
              <w:rPr>
                <w:rFonts w:cs="Calibri"/>
                <w:sz w:val="20"/>
                <w:szCs w:val="20"/>
              </w:rPr>
              <w:t>300</w:t>
            </w:r>
            <w:proofErr w:type="spellEnd"/>
          </w:p>
        </w:tc>
        <w:tc>
          <w:tcPr>
            <w:tcW w:w="1867" w:type="pct"/>
            <w:gridSpan w:val="3"/>
            <w:tcBorders>
              <w:top w:val="single" w:sz="4" w:space="0" w:color="auto"/>
              <w:left w:val="nil"/>
              <w:bottom w:val="single" w:sz="4" w:space="0" w:color="auto"/>
              <w:right w:val="single" w:sz="4" w:space="0" w:color="auto"/>
            </w:tcBorders>
            <w:shd w:val="clear" w:color="auto" w:fill="auto"/>
            <w:noWrap/>
            <w:vAlign w:val="bottom"/>
            <w:hideMark/>
          </w:tcPr>
          <w:p w14:paraId="4CBB2EEC" w14:textId="77777777" w:rsidR="00FC251A" w:rsidRPr="00DE497D" w:rsidRDefault="00FC251A" w:rsidP="00530157">
            <w:pPr>
              <w:keepNext/>
              <w:rPr>
                <w:rFonts w:cs="Calibri"/>
                <w:sz w:val="20"/>
                <w:szCs w:val="20"/>
              </w:rPr>
            </w:pPr>
            <w:r w:rsidRPr="00DE497D">
              <w:rPr>
                <w:rFonts w:cs="Calibri"/>
                <w:sz w:val="20"/>
                <w:szCs w:val="20"/>
              </w:rPr>
              <w:t>Dejavnost obvezne socialne varnosti</w:t>
            </w:r>
          </w:p>
        </w:tc>
        <w:tc>
          <w:tcPr>
            <w:tcW w:w="103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403E6E8" w14:textId="77777777" w:rsidR="00FC251A" w:rsidRPr="00DE497D" w:rsidRDefault="00FC251A" w:rsidP="00530157">
            <w:pPr>
              <w:keepNext/>
              <w:rPr>
                <w:rFonts w:cs="Calibri"/>
                <w:i/>
                <w:iCs/>
                <w:sz w:val="20"/>
                <w:szCs w:val="20"/>
              </w:rPr>
            </w:pPr>
            <w:r w:rsidRPr="00DE497D">
              <w:rPr>
                <w:rFonts w:cs="Calibri"/>
                <w:i/>
                <w:iCs/>
                <w:sz w:val="20"/>
                <w:szCs w:val="20"/>
              </w:rPr>
              <w:t>0</w:t>
            </w:r>
            <w:proofErr w:type="gramStart"/>
            <w:r w:rsidRPr="00DE497D">
              <w:rPr>
                <w:rFonts w:cs="Calibri"/>
                <w:i/>
                <w:iCs/>
                <w:sz w:val="20"/>
                <w:szCs w:val="20"/>
              </w:rPr>
              <w:t>%</w:t>
            </w:r>
            <w:proofErr w:type="gramEnd"/>
            <w:r w:rsidRPr="00DE497D">
              <w:rPr>
                <w:rFonts w:cs="Calibri"/>
                <w:i/>
                <w:iCs/>
                <w:sz w:val="20"/>
                <w:szCs w:val="20"/>
              </w:rPr>
              <w:t xml:space="preserve"> Oproščeno  </w:t>
            </w:r>
          </w:p>
        </w:tc>
        <w:tc>
          <w:tcPr>
            <w:tcW w:w="815" w:type="pct"/>
            <w:tcBorders>
              <w:top w:val="single" w:sz="4" w:space="0" w:color="auto"/>
              <w:left w:val="nil"/>
              <w:bottom w:val="single" w:sz="4" w:space="0" w:color="auto"/>
              <w:right w:val="nil"/>
            </w:tcBorders>
            <w:shd w:val="clear" w:color="auto" w:fill="auto"/>
            <w:vAlign w:val="bottom"/>
            <w:hideMark/>
          </w:tcPr>
          <w:p w14:paraId="64BE1D95" w14:textId="77777777" w:rsidR="00FC251A" w:rsidRPr="00DE497D" w:rsidRDefault="00FC251A" w:rsidP="00530157">
            <w:pPr>
              <w:keepNext/>
              <w:rPr>
                <w:rFonts w:cs="Calibri"/>
                <w:i/>
                <w:iCs/>
                <w:sz w:val="20"/>
                <w:szCs w:val="20"/>
              </w:rPr>
            </w:pPr>
            <w:r w:rsidRPr="00DE497D">
              <w:rPr>
                <w:rFonts w:cs="Calibri"/>
                <w:i/>
                <w:iCs/>
                <w:sz w:val="20"/>
                <w:szCs w:val="20"/>
              </w:rPr>
              <w:t>Obdavčeno 9,5</w:t>
            </w:r>
            <w:proofErr w:type="gramStart"/>
            <w:r w:rsidRPr="00DE497D">
              <w:rPr>
                <w:rFonts w:cs="Calibri"/>
                <w:i/>
                <w:iCs/>
                <w:sz w:val="20"/>
                <w:szCs w:val="20"/>
              </w:rPr>
              <w:t>%</w:t>
            </w:r>
            <w:proofErr w:type="gramEnd"/>
          </w:p>
        </w:tc>
        <w:tc>
          <w:tcPr>
            <w:tcW w:w="80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C81CC05" w14:textId="77777777" w:rsidR="00FC251A" w:rsidRPr="00DE497D" w:rsidRDefault="00FC251A" w:rsidP="00530157">
            <w:pPr>
              <w:keepNext/>
              <w:rPr>
                <w:rFonts w:cs="Calibri"/>
                <w:i/>
                <w:iCs/>
                <w:sz w:val="20"/>
                <w:szCs w:val="20"/>
              </w:rPr>
            </w:pPr>
            <w:r w:rsidRPr="00DE497D">
              <w:rPr>
                <w:rFonts w:cs="Calibri"/>
                <w:i/>
                <w:iCs/>
                <w:sz w:val="20"/>
                <w:szCs w:val="20"/>
              </w:rPr>
              <w:t>Obdavčeno 22</w:t>
            </w:r>
            <w:proofErr w:type="gramStart"/>
            <w:r w:rsidRPr="00DE497D">
              <w:rPr>
                <w:rFonts w:cs="Calibri"/>
                <w:i/>
                <w:iCs/>
                <w:sz w:val="20"/>
                <w:szCs w:val="20"/>
              </w:rPr>
              <w:t>%</w:t>
            </w:r>
            <w:proofErr w:type="gramEnd"/>
          </w:p>
        </w:tc>
      </w:tr>
      <w:tr w:rsidR="00FC251A" w:rsidRPr="006237E4" w14:paraId="7B4513E2" w14:textId="77777777" w:rsidTr="003027F4">
        <w:trPr>
          <w:trHeight w:val="240"/>
        </w:trPr>
        <w:tc>
          <w:tcPr>
            <w:tcW w:w="47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21488F2" w14:textId="77777777" w:rsidR="00FC251A" w:rsidRPr="00DE497D" w:rsidRDefault="00FC251A" w:rsidP="00530157">
            <w:pPr>
              <w:keepNext/>
              <w:rPr>
                <w:rFonts w:cs="Calibri"/>
                <w:b/>
                <w:bCs/>
                <w:sz w:val="20"/>
                <w:szCs w:val="20"/>
              </w:rPr>
            </w:pPr>
            <w:r w:rsidRPr="00DE497D">
              <w:rPr>
                <w:rFonts w:cs="Calibri"/>
                <w:b/>
                <w:bCs/>
                <w:sz w:val="20"/>
                <w:szCs w:val="20"/>
              </w:rPr>
              <w:t> </w:t>
            </w:r>
          </w:p>
        </w:tc>
        <w:tc>
          <w:tcPr>
            <w:tcW w:w="358" w:type="pct"/>
            <w:tcBorders>
              <w:top w:val="single" w:sz="4" w:space="0" w:color="auto"/>
              <w:left w:val="nil"/>
              <w:bottom w:val="single" w:sz="4" w:space="0" w:color="auto"/>
              <w:right w:val="single" w:sz="4" w:space="0" w:color="auto"/>
            </w:tcBorders>
            <w:shd w:val="clear" w:color="auto" w:fill="auto"/>
            <w:vAlign w:val="bottom"/>
            <w:hideMark/>
          </w:tcPr>
          <w:p w14:paraId="58D6774A" w14:textId="77777777" w:rsidR="00FC251A" w:rsidRPr="00DE497D" w:rsidRDefault="00FC251A" w:rsidP="00530157">
            <w:pPr>
              <w:keepNext/>
              <w:jc w:val="right"/>
              <w:rPr>
                <w:rFonts w:cs="Calibri"/>
                <w:sz w:val="20"/>
                <w:szCs w:val="20"/>
              </w:rPr>
            </w:pPr>
            <w:r w:rsidRPr="00DE497D">
              <w:rPr>
                <w:rFonts w:cs="Calibri"/>
                <w:sz w:val="20"/>
                <w:szCs w:val="20"/>
              </w:rPr>
              <w:t>701</w:t>
            </w:r>
          </w:p>
        </w:tc>
        <w:tc>
          <w:tcPr>
            <w:tcW w:w="1509" w:type="pct"/>
            <w:gridSpan w:val="2"/>
            <w:tcBorders>
              <w:top w:val="single" w:sz="4" w:space="0" w:color="auto"/>
              <w:left w:val="nil"/>
              <w:bottom w:val="single" w:sz="4" w:space="0" w:color="auto"/>
              <w:right w:val="single" w:sz="4" w:space="0" w:color="auto"/>
            </w:tcBorders>
            <w:shd w:val="clear" w:color="auto" w:fill="auto"/>
            <w:vAlign w:val="bottom"/>
            <w:hideMark/>
          </w:tcPr>
          <w:p w14:paraId="36AB47BF" w14:textId="77777777" w:rsidR="00FC251A" w:rsidRPr="00DE497D" w:rsidRDefault="00FC251A" w:rsidP="00530157">
            <w:pPr>
              <w:keepNext/>
              <w:rPr>
                <w:rFonts w:cs="Calibri"/>
                <w:sz w:val="20"/>
                <w:szCs w:val="20"/>
              </w:rPr>
            </w:pPr>
            <w:r w:rsidRPr="00DE497D">
              <w:rPr>
                <w:rFonts w:cs="Calibri"/>
                <w:sz w:val="20"/>
                <w:szCs w:val="20"/>
              </w:rPr>
              <w:t>Druge obveznosti ZZZS</w:t>
            </w:r>
          </w:p>
        </w:tc>
        <w:tc>
          <w:tcPr>
            <w:tcW w:w="103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3EC3982" w14:textId="77777777" w:rsidR="00FC251A" w:rsidRPr="00DE497D" w:rsidRDefault="00FC251A" w:rsidP="00530157">
            <w:pPr>
              <w:keepNext/>
              <w:rPr>
                <w:rFonts w:cs="Calibri"/>
                <w:sz w:val="20"/>
                <w:szCs w:val="20"/>
              </w:rPr>
            </w:pPr>
            <w:r w:rsidRPr="00DE497D">
              <w:rPr>
                <w:rFonts w:cs="Calibri"/>
                <w:sz w:val="20"/>
                <w:szCs w:val="20"/>
              </w:rPr>
              <w:t> </w:t>
            </w:r>
          </w:p>
        </w:tc>
        <w:tc>
          <w:tcPr>
            <w:tcW w:w="815" w:type="pct"/>
            <w:tcBorders>
              <w:top w:val="single" w:sz="4" w:space="0" w:color="auto"/>
              <w:left w:val="nil"/>
              <w:bottom w:val="single" w:sz="4" w:space="0" w:color="auto"/>
              <w:right w:val="single" w:sz="4" w:space="0" w:color="auto"/>
            </w:tcBorders>
            <w:shd w:val="clear" w:color="auto" w:fill="auto"/>
            <w:vAlign w:val="bottom"/>
            <w:hideMark/>
          </w:tcPr>
          <w:p w14:paraId="7867293C" w14:textId="77777777" w:rsidR="00FC251A" w:rsidRPr="00DE497D" w:rsidRDefault="00FC251A" w:rsidP="00530157">
            <w:pPr>
              <w:keepNext/>
              <w:rPr>
                <w:rFonts w:cs="Calibri"/>
                <w:sz w:val="20"/>
                <w:szCs w:val="20"/>
              </w:rPr>
            </w:pPr>
            <w:r w:rsidRPr="00DE497D">
              <w:rPr>
                <w:rFonts w:cs="Calibri"/>
                <w:sz w:val="20"/>
                <w:szCs w:val="20"/>
              </w:rPr>
              <w:t> </w:t>
            </w:r>
          </w:p>
        </w:tc>
        <w:tc>
          <w:tcPr>
            <w:tcW w:w="809" w:type="pct"/>
            <w:tcBorders>
              <w:top w:val="single" w:sz="4" w:space="0" w:color="auto"/>
              <w:left w:val="nil"/>
              <w:bottom w:val="single" w:sz="4" w:space="0" w:color="auto"/>
              <w:right w:val="single" w:sz="4" w:space="0" w:color="auto"/>
            </w:tcBorders>
            <w:shd w:val="clear" w:color="auto" w:fill="auto"/>
            <w:vAlign w:val="bottom"/>
            <w:hideMark/>
          </w:tcPr>
          <w:p w14:paraId="28A5CA0D" w14:textId="77777777" w:rsidR="00FC251A" w:rsidRPr="00DE497D" w:rsidRDefault="00FC251A" w:rsidP="00530157">
            <w:pPr>
              <w:keepNext/>
              <w:rPr>
                <w:rFonts w:cs="Calibri"/>
                <w:sz w:val="20"/>
                <w:szCs w:val="20"/>
              </w:rPr>
            </w:pPr>
            <w:r w:rsidRPr="00DE497D">
              <w:rPr>
                <w:rFonts w:cs="Calibri"/>
                <w:sz w:val="20"/>
                <w:szCs w:val="20"/>
              </w:rPr>
              <w:t> </w:t>
            </w:r>
          </w:p>
        </w:tc>
      </w:tr>
      <w:tr w:rsidR="00FC251A" w:rsidRPr="006237E4" w14:paraId="08E07D46" w14:textId="77777777" w:rsidTr="003027F4">
        <w:trPr>
          <w:trHeight w:val="240"/>
        </w:trPr>
        <w:tc>
          <w:tcPr>
            <w:tcW w:w="471" w:type="pct"/>
            <w:tcBorders>
              <w:top w:val="nil"/>
              <w:left w:val="single" w:sz="8" w:space="0" w:color="auto"/>
              <w:bottom w:val="single" w:sz="4" w:space="0" w:color="auto"/>
              <w:right w:val="single" w:sz="4" w:space="0" w:color="auto"/>
            </w:tcBorders>
            <w:shd w:val="clear" w:color="auto" w:fill="auto"/>
            <w:noWrap/>
            <w:vAlign w:val="bottom"/>
            <w:hideMark/>
          </w:tcPr>
          <w:p w14:paraId="2418CA07" w14:textId="77777777" w:rsidR="00FC251A" w:rsidRPr="00DE497D" w:rsidRDefault="00FC251A" w:rsidP="00530157">
            <w:pPr>
              <w:keepNext/>
              <w:rPr>
                <w:rFonts w:cs="Calibri"/>
                <w:b/>
                <w:bCs/>
                <w:sz w:val="20"/>
                <w:szCs w:val="20"/>
              </w:rPr>
            </w:pPr>
            <w:r w:rsidRPr="00DE497D">
              <w:rPr>
                <w:rFonts w:cs="Calibri"/>
                <w:b/>
                <w:bCs/>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14:paraId="660B2B02" w14:textId="77777777" w:rsidR="00FC251A" w:rsidRPr="00DE497D" w:rsidRDefault="00FC251A" w:rsidP="00530157">
            <w:pPr>
              <w:keepNext/>
              <w:rPr>
                <w:rFonts w:cs="Calibri"/>
                <w:sz w:val="20"/>
                <w:szCs w:val="20"/>
              </w:rPr>
            </w:pPr>
            <w:r w:rsidRPr="00DE497D">
              <w:rPr>
                <w:rFonts w:cs="Calibri"/>
                <w:sz w:val="20"/>
                <w:szCs w:val="20"/>
              </w:rPr>
              <w:t> </w:t>
            </w:r>
          </w:p>
        </w:tc>
        <w:tc>
          <w:tcPr>
            <w:tcW w:w="268" w:type="pct"/>
            <w:tcBorders>
              <w:top w:val="nil"/>
              <w:left w:val="nil"/>
              <w:bottom w:val="single" w:sz="4" w:space="0" w:color="auto"/>
              <w:right w:val="single" w:sz="4" w:space="0" w:color="auto"/>
            </w:tcBorders>
            <w:shd w:val="clear" w:color="auto" w:fill="auto"/>
            <w:vAlign w:val="bottom"/>
            <w:hideMark/>
          </w:tcPr>
          <w:p w14:paraId="557DDBF8" w14:textId="77777777" w:rsidR="00FC251A" w:rsidRPr="00DE497D" w:rsidRDefault="00FC251A" w:rsidP="00530157">
            <w:pPr>
              <w:keepNext/>
              <w:jc w:val="right"/>
              <w:rPr>
                <w:rFonts w:cs="Calibri"/>
                <w:sz w:val="20"/>
                <w:szCs w:val="20"/>
              </w:rPr>
            </w:pPr>
            <w:r w:rsidRPr="00DE497D">
              <w:rPr>
                <w:rFonts w:cs="Calibri"/>
                <w:sz w:val="20"/>
                <w:szCs w:val="20"/>
              </w:rPr>
              <w:t>824</w:t>
            </w:r>
          </w:p>
        </w:tc>
        <w:tc>
          <w:tcPr>
            <w:tcW w:w="1241" w:type="pct"/>
            <w:tcBorders>
              <w:top w:val="nil"/>
              <w:left w:val="nil"/>
              <w:bottom w:val="single" w:sz="4" w:space="0" w:color="auto"/>
              <w:right w:val="nil"/>
            </w:tcBorders>
            <w:shd w:val="clear" w:color="auto" w:fill="auto"/>
            <w:vAlign w:val="bottom"/>
            <w:hideMark/>
          </w:tcPr>
          <w:p w14:paraId="586C96AE" w14:textId="77777777" w:rsidR="00FC251A" w:rsidRPr="00DE497D" w:rsidRDefault="00FC251A" w:rsidP="00530157">
            <w:pPr>
              <w:keepNext/>
              <w:rPr>
                <w:rFonts w:cs="Calibri"/>
                <w:sz w:val="20"/>
                <w:szCs w:val="20"/>
              </w:rPr>
            </w:pPr>
            <w:r w:rsidRPr="00DE497D">
              <w:rPr>
                <w:rFonts w:cs="Calibri"/>
                <w:sz w:val="20"/>
                <w:szCs w:val="20"/>
              </w:rPr>
              <w:t>Povračilo proračun RS</w:t>
            </w:r>
          </w:p>
        </w:tc>
        <w:tc>
          <w:tcPr>
            <w:tcW w:w="1038" w:type="pct"/>
            <w:tcBorders>
              <w:top w:val="nil"/>
              <w:left w:val="single" w:sz="4" w:space="0" w:color="auto"/>
              <w:bottom w:val="single" w:sz="4" w:space="0" w:color="auto"/>
              <w:right w:val="nil"/>
            </w:tcBorders>
            <w:shd w:val="clear" w:color="auto" w:fill="auto"/>
            <w:vAlign w:val="bottom"/>
            <w:hideMark/>
          </w:tcPr>
          <w:p w14:paraId="58DD6607" w14:textId="77777777" w:rsidR="00FC251A" w:rsidRPr="00AC1025" w:rsidRDefault="00FC251A" w:rsidP="00853ABB">
            <w:pPr>
              <w:keepNext/>
              <w:jc w:val="center"/>
              <w:rPr>
                <w:rFonts w:cs="Calibri"/>
                <w:sz w:val="20"/>
                <w:szCs w:val="20"/>
              </w:rPr>
            </w:pPr>
            <w:r>
              <w:rPr>
                <w:rFonts w:cs="Calibri"/>
                <w:b/>
                <w:bCs/>
                <w:sz w:val="20"/>
                <w:szCs w:val="20"/>
              </w:rPr>
              <w:t>E0806</w:t>
            </w:r>
          </w:p>
        </w:tc>
        <w:tc>
          <w:tcPr>
            <w:tcW w:w="815" w:type="pct"/>
            <w:tcBorders>
              <w:top w:val="nil"/>
              <w:left w:val="single" w:sz="4" w:space="0" w:color="auto"/>
              <w:bottom w:val="single" w:sz="4" w:space="0" w:color="auto"/>
              <w:right w:val="nil"/>
            </w:tcBorders>
            <w:shd w:val="clear" w:color="auto" w:fill="auto"/>
            <w:vAlign w:val="bottom"/>
            <w:hideMark/>
          </w:tcPr>
          <w:p w14:paraId="40A00C0F" w14:textId="77777777" w:rsidR="00FC251A" w:rsidRPr="00DE497D" w:rsidRDefault="00FC251A" w:rsidP="00530157">
            <w:pPr>
              <w:keepNext/>
              <w:rPr>
                <w:rFonts w:cs="Calibri"/>
                <w:sz w:val="20"/>
                <w:szCs w:val="20"/>
              </w:rPr>
            </w:pPr>
          </w:p>
        </w:tc>
        <w:tc>
          <w:tcPr>
            <w:tcW w:w="809" w:type="pct"/>
            <w:tcBorders>
              <w:top w:val="nil"/>
              <w:left w:val="single" w:sz="4" w:space="0" w:color="auto"/>
              <w:bottom w:val="single" w:sz="4" w:space="0" w:color="auto"/>
              <w:right w:val="single" w:sz="4" w:space="0" w:color="auto"/>
            </w:tcBorders>
            <w:shd w:val="clear" w:color="auto" w:fill="auto"/>
            <w:vAlign w:val="bottom"/>
            <w:hideMark/>
          </w:tcPr>
          <w:p w14:paraId="56FB7C68" w14:textId="77777777" w:rsidR="00FC251A" w:rsidRPr="00DE497D" w:rsidRDefault="00FC251A" w:rsidP="00530157">
            <w:pPr>
              <w:keepNext/>
              <w:rPr>
                <w:rFonts w:cs="Calibri"/>
                <w:sz w:val="20"/>
                <w:szCs w:val="20"/>
              </w:rPr>
            </w:pPr>
          </w:p>
        </w:tc>
      </w:tr>
    </w:tbl>
    <w:p w14:paraId="27329197" w14:textId="77777777" w:rsidR="00FC251A" w:rsidRDefault="00FC251A" w:rsidP="00FC251A">
      <w:pPr>
        <w:widowControl w:val="0"/>
        <w:suppressAutoHyphens/>
        <w:rPr>
          <w:color w:val="000000"/>
        </w:rPr>
      </w:pPr>
    </w:p>
    <w:p w14:paraId="5A08194F" w14:textId="77777777" w:rsidR="00FC251A" w:rsidRPr="003027F4" w:rsidRDefault="00FC251A" w:rsidP="003027F4">
      <w:pPr>
        <w:pStyle w:val="Odstavekseznama"/>
        <w:ind w:left="0"/>
        <w:contextualSpacing/>
        <w:jc w:val="both"/>
        <w:rPr>
          <w:rFonts w:ascii="Calibri" w:hAnsi="Calibri" w:cs="Calibri"/>
          <w:sz w:val="22"/>
          <w:szCs w:val="22"/>
        </w:rPr>
      </w:pPr>
      <w:r w:rsidRPr="003027F4">
        <w:rPr>
          <w:rFonts w:ascii="Calibri" w:hAnsi="Calibri" w:cs="Calibri"/>
          <w:sz w:val="22"/>
          <w:szCs w:val="22"/>
        </w:rPr>
        <w:t xml:space="preserve">Storitve lekarne obračunajo ZZZS na dejavnost 701 824 »Povračilo proračun RS« po strukturi »PGO« na vrstah dokumentov 1-3 (račun) skladno s povezovalnimi šifranti in navodili ZZZS, pri čemer se podatki o izdaji ne zapišejo v </w:t>
      </w:r>
      <w:proofErr w:type="gramStart"/>
      <w:r w:rsidRPr="003027F4">
        <w:rPr>
          <w:rFonts w:ascii="Calibri" w:hAnsi="Calibri" w:cs="Calibri"/>
          <w:sz w:val="22"/>
          <w:szCs w:val="22"/>
        </w:rPr>
        <w:t>on</w:t>
      </w:r>
      <w:proofErr w:type="gramEnd"/>
      <w:r w:rsidRPr="003027F4">
        <w:rPr>
          <w:rFonts w:ascii="Calibri" w:hAnsi="Calibri" w:cs="Calibri"/>
          <w:sz w:val="22"/>
          <w:szCs w:val="22"/>
        </w:rPr>
        <w:t xml:space="preserve">-line sistem. </w:t>
      </w:r>
    </w:p>
    <w:p w14:paraId="03BFC22C" w14:textId="77777777" w:rsidR="00FC251A" w:rsidRDefault="00FC251A" w:rsidP="00FC251A">
      <w:pPr>
        <w:pStyle w:val="Odstavekseznama"/>
        <w:ind w:left="0"/>
        <w:contextualSpacing/>
        <w:jc w:val="both"/>
        <w:rPr>
          <w:rFonts w:ascii="Calibri" w:hAnsi="Calibri" w:cs="Calibri"/>
          <w:color w:val="000000"/>
          <w:sz w:val="22"/>
          <w:szCs w:val="22"/>
        </w:rPr>
      </w:pPr>
    </w:p>
    <w:p w14:paraId="6E88B69F" w14:textId="77777777" w:rsidR="00FC251A" w:rsidRDefault="00FC251A" w:rsidP="00FC251A">
      <w:pPr>
        <w:pStyle w:val="Odstavekseznama"/>
        <w:ind w:left="0"/>
        <w:contextualSpacing/>
        <w:jc w:val="both"/>
        <w:rPr>
          <w:rFonts w:ascii="Calibri" w:hAnsi="Calibri" w:cs="Calibri"/>
          <w:color w:val="000000"/>
          <w:sz w:val="22"/>
          <w:szCs w:val="22"/>
        </w:rPr>
      </w:pPr>
      <w:r w:rsidRPr="000238BB">
        <w:rPr>
          <w:rFonts w:ascii="Calibri" w:hAnsi="Calibri" w:cs="Calibri"/>
          <w:color w:val="000000"/>
          <w:sz w:val="22"/>
          <w:szCs w:val="22"/>
        </w:rPr>
        <w:t>Vrednost lekarniške točke se obračuna v skladu z veljavnimi cenami Z</w:t>
      </w:r>
      <w:r>
        <w:rPr>
          <w:rFonts w:ascii="Calibri" w:hAnsi="Calibri" w:cs="Calibri"/>
          <w:color w:val="000000"/>
          <w:sz w:val="22"/>
          <w:szCs w:val="22"/>
        </w:rPr>
        <w:t>ZZS.</w:t>
      </w:r>
    </w:p>
    <w:p w14:paraId="0DD2EB26" w14:textId="77777777" w:rsidR="00FC251A" w:rsidRDefault="00FC251A" w:rsidP="00FC251A">
      <w:pPr>
        <w:pStyle w:val="Odstavekseznama"/>
        <w:ind w:left="0"/>
        <w:contextualSpacing/>
        <w:jc w:val="both"/>
        <w:rPr>
          <w:rFonts w:ascii="Calibri" w:hAnsi="Calibri" w:cs="Calibri"/>
          <w:color w:val="000000"/>
          <w:sz w:val="22"/>
          <w:szCs w:val="22"/>
        </w:rPr>
      </w:pPr>
    </w:p>
    <w:p w14:paraId="6F93CE2B" w14:textId="77777777" w:rsidR="00FC251A" w:rsidRPr="003E2CD6" w:rsidRDefault="00FC251A" w:rsidP="00FC251A">
      <w:pPr>
        <w:widowControl w:val="0"/>
        <w:suppressAutoHyphens/>
        <w:rPr>
          <w:color w:val="FF0000"/>
        </w:rPr>
      </w:pPr>
      <w:r>
        <w:rPr>
          <w:color w:val="000000"/>
        </w:rPr>
        <w:t xml:space="preserve">Spremembe veljajo za storitve, opravljene od </w:t>
      </w:r>
      <w:proofErr w:type="gramStart"/>
      <w:r>
        <w:rPr>
          <w:color w:val="000000"/>
        </w:rPr>
        <w:t>19. 1. 2022</w:t>
      </w:r>
      <w:proofErr w:type="gramEnd"/>
      <w:r>
        <w:rPr>
          <w:color w:val="000000"/>
        </w:rPr>
        <w:t>.</w:t>
      </w:r>
    </w:p>
    <w:p w14:paraId="14593EC3" w14:textId="77777777" w:rsidR="00FC251A" w:rsidRDefault="00FC251A" w:rsidP="00FC251A">
      <w:pPr>
        <w:widowControl w:val="0"/>
        <w:suppressAutoHyphens/>
        <w:rPr>
          <w:color w:val="000000"/>
        </w:rPr>
      </w:pPr>
    </w:p>
    <w:p w14:paraId="3EC96B1F" w14:textId="77777777" w:rsidR="00FC251A" w:rsidRPr="00F127E5" w:rsidRDefault="00FC251A" w:rsidP="00FC251A">
      <w:pPr>
        <w:autoSpaceDE w:val="0"/>
        <w:autoSpaceDN w:val="0"/>
        <w:adjustRightInd w:val="0"/>
      </w:pPr>
      <w:r w:rsidRPr="00F127E5">
        <w:t xml:space="preserve">Kontaktna oseba za vsebinska vprašanja: </w:t>
      </w:r>
    </w:p>
    <w:p w14:paraId="501F6B83" w14:textId="72A486D7" w:rsidR="00FC251A" w:rsidRDefault="00FC251A" w:rsidP="00FC251A">
      <w:pPr>
        <w:autoSpaceDE w:val="0"/>
        <w:autoSpaceDN w:val="0"/>
        <w:adjustRightInd w:val="0"/>
      </w:pPr>
      <w:r w:rsidRPr="001F05D2">
        <w:t>Tatjana Černič Klobasa (</w:t>
      </w:r>
      <w:hyperlink r:id="rId8" w:history="1">
        <w:r w:rsidRPr="001F05D2">
          <w:rPr>
            <w:rStyle w:val="Hiperpovezava"/>
          </w:rPr>
          <w:t>tatjana.cernic-klobasa@zzzs.si</w:t>
        </w:r>
      </w:hyperlink>
      <w:r w:rsidRPr="001F05D2">
        <w:t xml:space="preserve">; 01/30-77-262) </w:t>
      </w:r>
    </w:p>
    <w:p w14:paraId="2CD5E0B1" w14:textId="57409628" w:rsidR="00853ABB" w:rsidRDefault="00853ABB" w:rsidP="00FC251A">
      <w:pPr>
        <w:autoSpaceDE w:val="0"/>
        <w:autoSpaceDN w:val="0"/>
        <w:adjustRightInd w:val="0"/>
      </w:pPr>
    </w:p>
    <w:p w14:paraId="247D32AA" w14:textId="77777777" w:rsidR="00405C52" w:rsidRDefault="00405C52" w:rsidP="00FC251A">
      <w:pPr>
        <w:autoSpaceDE w:val="0"/>
        <w:autoSpaceDN w:val="0"/>
        <w:adjustRightInd w:val="0"/>
      </w:pPr>
    </w:p>
    <w:p w14:paraId="641C76F9" w14:textId="77777777" w:rsidR="00853ABB" w:rsidRPr="001F05D2" w:rsidRDefault="00853ABB" w:rsidP="00FC251A">
      <w:pPr>
        <w:autoSpaceDE w:val="0"/>
        <w:autoSpaceDN w:val="0"/>
        <w:adjustRightInd w:val="0"/>
      </w:pPr>
    </w:p>
    <w:bookmarkEnd w:id="1"/>
    <w:bookmarkEnd w:id="2"/>
    <w:bookmarkEnd w:id="3"/>
    <w:bookmarkEnd w:id="4"/>
    <w:bookmarkEnd w:id="5"/>
    <w:bookmarkEnd w:id="6"/>
    <w:p w14:paraId="70140E0F" w14:textId="7319E322" w:rsidR="00411535" w:rsidRDefault="00411535" w:rsidP="00FC251A">
      <w:pPr>
        <w:sectPr w:rsidR="00411535" w:rsidSect="00530157">
          <w:footerReference w:type="default" r:id="rId9"/>
          <w:headerReference w:type="first" r:id="rId10"/>
          <w:pgSz w:w="11906" w:h="16838"/>
          <w:pgMar w:top="921" w:right="1247" w:bottom="851" w:left="1247" w:header="284" w:footer="709" w:gutter="0"/>
          <w:pgNumType w:start="1"/>
          <w:cols w:space="708"/>
          <w:titlePg/>
          <w:docGrid w:linePitch="360"/>
        </w:sectPr>
      </w:pPr>
    </w:p>
    <w:p w14:paraId="20F21591" w14:textId="0B6CE20F" w:rsidR="00D9617B" w:rsidRPr="00573B91" w:rsidRDefault="003870D4" w:rsidP="003870D4">
      <w:pPr>
        <w:pStyle w:val="Naslov1"/>
        <w:numPr>
          <w:ilvl w:val="0"/>
          <w:numId w:val="9"/>
        </w:numPr>
        <w:ind w:left="284"/>
        <w:rPr>
          <w:rFonts w:cs="Calibri"/>
        </w:rPr>
      </w:pPr>
      <w:bookmarkStart w:id="9" w:name="_Toc93467001"/>
      <w:r>
        <w:rPr>
          <w:rFonts w:cs="Calibri"/>
        </w:rPr>
        <w:t>Planiranje p</w:t>
      </w:r>
      <w:r w:rsidRPr="003870D4">
        <w:rPr>
          <w:rFonts w:cs="Calibri"/>
        </w:rPr>
        <w:t>atohistoloških in citoloških preiskav v bolnišnicah</w:t>
      </w:r>
      <w:bookmarkEnd w:id="9"/>
    </w:p>
    <w:p w14:paraId="02322423" w14:textId="77777777" w:rsidR="00D9617B" w:rsidRDefault="00D9617B" w:rsidP="00D9617B">
      <w:pPr>
        <w:keepNext/>
        <w:keepLines/>
        <w:rPr>
          <w:i/>
          <w:color w:val="0070C0"/>
        </w:rPr>
      </w:pPr>
    </w:p>
    <w:p w14:paraId="58A0F8A1" w14:textId="20A41453" w:rsidR="00D9617B" w:rsidRPr="000D709E" w:rsidRDefault="00D9617B" w:rsidP="00D9617B">
      <w:pPr>
        <w:keepNext/>
        <w:keepLines/>
        <w:rPr>
          <w:i/>
          <w:color w:val="0070C0"/>
        </w:rPr>
      </w:pPr>
      <w:r w:rsidRPr="0013409E">
        <w:rPr>
          <w:i/>
          <w:color w:val="0070C0"/>
        </w:rPr>
        <w:t>Vsem</w:t>
      </w:r>
      <w:r>
        <w:rPr>
          <w:i/>
          <w:color w:val="0070C0"/>
        </w:rPr>
        <w:t xml:space="preserve"> </w:t>
      </w:r>
      <w:r w:rsidR="00FF2E2F">
        <w:rPr>
          <w:i/>
          <w:color w:val="0070C0"/>
        </w:rPr>
        <w:t>bolnišnicam</w:t>
      </w:r>
    </w:p>
    <w:p w14:paraId="326F0EE2" w14:textId="77777777" w:rsidR="00D9617B" w:rsidRDefault="00D9617B" w:rsidP="00D9617B">
      <w:pPr>
        <w:widowControl w:val="0"/>
        <w:suppressAutoHyphens/>
        <w:rPr>
          <w:color w:val="000000"/>
        </w:rPr>
      </w:pPr>
    </w:p>
    <w:p w14:paraId="699ACF23" w14:textId="77777777" w:rsidR="00D9617B" w:rsidRDefault="00D9617B" w:rsidP="00D9617B">
      <w:pPr>
        <w:rPr>
          <w:rFonts w:cs="Calibri"/>
          <w:b/>
          <w:bCs/>
        </w:rPr>
      </w:pPr>
      <w:r w:rsidRPr="002E77F9">
        <w:rPr>
          <w:rFonts w:cs="Calibri"/>
          <w:b/>
          <w:bCs/>
        </w:rPr>
        <w:t>Povzetek vsebine</w:t>
      </w:r>
    </w:p>
    <w:p w14:paraId="73096627" w14:textId="77777777" w:rsidR="00D9617B" w:rsidRDefault="00D9617B" w:rsidP="00D9617B">
      <w:pPr>
        <w:widowControl w:val="0"/>
        <w:suppressAutoHyphens/>
        <w:rPr>
          <w:color w:val="000000"/>
        </w:rPr>
      </w:pPr>
    </w:p>
    <w:p w14:paraId="4AA0CA59" w14:textId="12E44578" w:rsidR="00D9617B" w:rsidRPr="00483132" w:rsidRDefault="00FF2E2F" w:rsidP="00FF2E2F">
      <w:pPr>
        <w:rPr>
          <w:rFonts w:cs="Calibri"/>
          <w:color w:val="000000"/>
        </w:rPr>
      </w:pPr>
      <w:r>
        <w:rPr>
          <w:rFonts w:cs="Calibri"/>
          <w:color w:val="000000"/>
        </w:rPr>
        <w:t>Aneks 1 k Splošnemu dogovoru za pogodbeno leto 2021 določa, da p</w:t>
      </w:r>
      <w:r w:rsidRPr="00FF2E2F">
        <w:rPr>
          <w:rFonts w:cs="Calibri"/>
          <w:color w:val="000000"/>
        </w:rPr>
        <w:t xml:space="preserve">atohistološke in citološke preiskave bolnišnice </w:t>
      </w:r>
      <w:r>
        <w:rPr>
          <w:rFonts w:cs="Calibri"/>
          <w:color w:val="000000"/>
        </w:rPr>
        <w:t xml:space="preserve">od </w:t>
      </w:r>
      <w:proofErr w:type="gramStart"/>
      <w:r>
        <w:rPr>
          <w:rFonts w:cs="Calibri"/>
          <w:color w:val="000000"/>
        </w:rPr>
        <w:t>1. 1. 2021</w:t>
      </w:r>
      <w:proofErr w:type="gramEnd"/>
      <w:r>
        <w:rPr>
          <w:rFonts w:cs="Calibri"/>
          <w:color w:val="000000"/>
        </w:rPr>
        <w:t xml:space="preserve"> dalje </w:t>
      </w:r>
      <w:r w:rsidRPr="00FF2E2F">
        <w:rPr>
          <w:rFonts w:cs="Calibri"/>
          <w:color w:val="000000"/>
        </w:rPr>
        <w:t>obračunavajo kot ločeno zaračunljive storitve največ do višine planiranih sredstev v posamezni dejavnosti v deležu obveznega zdravstvenega zavarovanja. Planirana sredstva se povečajo v primeru enkratnega dodatnega programa ali plačila preseganja programa v skladu z merili iz Priloge III.</w:t>
      </w:r>
    </w:p>
    <w:p w14:paraId="157F8CA1" w14:textId="536C8AE6" w:rsidR="00D9617B" w:rsidRDefault="006B2382" w:rsidP="00D9617B">
      <w:pPr>
        <w:widowControl w:val="0"/>
        <w:suppressAutoHyphens/>
        <w:spacing w:before="100" w:beforeAutospacing="1"/>
        <w:rPr>
          <w:rFonts w:cs="Calibri"/>
          <w:b/>
          <w:bCs/>
          <w:color w:val="000000"/>
        </w:rPr>
      </w:pPr>
      <w:r>
        <w:rPr>
          <w:rFonts w:cs="Calibri"/>
          <w:b/>
          <w:bCs/>
          <w:color w:val="000000"/>
        </w:rPr>
        <w:t>Planiranje patohistoloških in citoloških preiskav</w:t>
      </w:r>
    </w:p>
    <w:p w14:paraId="5942BD3A" w14:textId="77777777" w:rsidR="00D9617B" w:rsidRDefault="00D9617B" w:rsidP="00D9617B">
      <w:pPr>
        <w:pStyle w:val="Odstavekseznama"/>
        <w:ind w:left="0"/>
        <w:contextualSpacing/>
        <w:jc w:val="both"/>
        <w:rPr>
          <w:rFonts w:ascii="Calibri" w:hAnsi="Calibri" w:cs="Calibri"/>
          <w:color w:val="000000"/>
          <w:sz w:val="22"/>
          <w:szCs w:val="22"/>
        </w:rPr>
      </w:pPr>
    </w:p>
    <w:p w14:paraId="772A17D8" w14:textId="02CFF412" w:rsidR="00FF2E2F" w:rsidRDefault="00FF2E2F" w:rsidP="00D9617B">
      <w:pPr>
        <w:pStyle w:val="Odstavekseznama"/>
        <w:ind w:left="0"/>
        <w:contextualSpacing/>
        <w:jc w:val="both"/>
        <w:rPr>
          <w:rFonts w:ascii="Calibri" w:hAnsi="Calibri" w:cs="Calibri"/>
          <w:color w:val="000000"/>
          <w:sz w:val="22"/>
          <w:szCs w:val="22"/>
        </w:rPr>
      </w:pPr>
      <w:r>
        <w:rPr>
          <w:rFonts w:ascii="Calibri" w:hAnsi="Calibri" w:cs="Calibri"/>
          <w:color w:val="000000"/>
          <w:sz w:val="22"/>
          <w:szCs w:val="22"/>
        </w:rPr>
        <w:t>Skladno z navedenim pri storitvi E0259 »</w:t>
      </w:r>
      <w:r w:rsidRPr="00FF2E2F">
        <w:rPr>
          <w:rFonts w:asciiTheme="minorHAnsi" w:hAnsiTheme="minorHAnsi" w:cstheme="minorHAnsi"/>
          <w:sz w:val="20"/>
          <w:szCs w:val="20"/>
        </w:rPr>
        <w:t>Patološke in citološke preiskave v bolnišnicah</w:t>
      </w:r>
      <w:r>
        <w:rPr>
          <w:rFonts w:ascii="Calibri" w:hAnsi="Calibri" w:cs="Calibri"/>
          <w:color w:val="000000"/>
          <w:sz w:val="22"/>
          <w:szCs w:val="22"/>
        </w:rPr>
        <w:t xml:space="preserve">« spreminjamo </w:t>
      </w:r>
      <w:proofErr w:type="gramStart"/>
      <w:r>
        <w:rPr>
          <w:rFonts w:ascii="Calibri" w:hAnsi="Calibri" w:cs="Calibri"/>
          <w:color w:val="000000"/>
          <w:sz w:val="22"/>
          <w:szCs w:val="22"/>
        </w:rPr>
        <w:t>nivo</w:t>
      </w:r>
      <w:proofErr w:type="gramEnd"/>
      <w:r>
        <w:rPr>
          <w:rFonts w:ascii="Calibri" w:hAnsi="Calibri" w:cs="Calibri"/>
          <w:color w:val="000000"/>
          <w:sz w:val="22"/>
          <w:szCs w:val="22"/>
        </w:rPr>
        <w:t xml:space="preserve"> planiranja tako, da se planira po storitvi.</w:t>
      </w:r>
    </w:p>
    <w:p w14:paraId="48DE6D31" w14:textId="77777777" w:rsidR="00D9617B" w:rsidRPr="00916BC2" w:rsidRDefault="00D9617B" w:rsidP="00D9617B">
      <w:pPr>
        <w:rPr>
          <w:rFonts w:cs="Calibri"/>
          <w:color w:val="000000"/>
        </w:rPr>
      </w:pPr>
    </w:p>
    <w:p w14:paraId="768AD5E0" w14:textId="603CCFB4" w:rsidR="00D5725B" w:rsidRPr="001D6DAC" w:rsidRDefault="00D9617B" w:rsidP="00FF2E2F">
      <w:pPr>
        <w:rPr>
          <w:rFonts w:cs="Calibri"/>
        </w:rPr>
      </w:pPr>
      <w:r>
        <w:rPr>
          <w:rFonts w:cs="Calibri"/>
          <w:iCs/>
        </w:rPr>
        <w:t xml:space="preserve">Spremembe </w:t>
      </w:r>
      <w:r w:rsidR="00FF2E2F">
        <w:rPr>
          <w:rFonts w:cs="Calibri"/>
          <w:iCs/>
        </w:rPr>
        <w:t>s</w:t>
      </w:r>
      <w:r w:rsidRPr="00FF2E2F">
        <w:rPr>
          <w:rFonts w:cs="Calibri"/>
        </w:rPr>
        <w:t>eznam</w:t>
      </w:r>
      <w:r w:rsidR="00FF2E2F">
        <w:rPr>
          <w:rFonts w:cs="Calibri"/>
        </w:rPr>
        <w:t>a</w:t>
      </w:r>
      <w:r w:rsidRPr="00FF2E2F">
        <w:rPr>
          <w:rFonts w:cs="Calibri"/>
        </w:rPr>
        <w:t xml:space="preserve"> storitev 15.</w:t>
      </w:r>
      <w:r w:rsidR="00FF2E2F" w:rsidRPr="00FF2E2F">
        <w:rPr>
          <w:rFonts w:cs="Calibri"/>
        </w:rPr>
        <w:t>2</w:t>
      </w:r>
      <w:r w:rsidRPr="00FF2E2F">
        <w:rPr>
          <w:rFonts w:cs="Calibri"/>
        </w:rPr>
        <w:t xml:space="preserve"> »</w:t>
      </w:r>
      <w:r w:rsidR="00FF2E2F" w:rsidRPr="00FF2E2F">
        <w:rPr>
          <w:rFonts w:cs="Calibri"/>
        </w:rPr>
        <w:t>Storitve, ki nimajo strukture PGO</w:t>
      </w:r>
      <w:r w:rsidRPr="00FF2E2F">
        <w:rPr>
          <w:rFonts w:cs="Calibri"/>
        </w:rPr>
        <w:t>«</w:t>
      </w:r>
      <w:r w:rsidR="00D5725B">
        <w:rPr>
          <w:rFonts w:cs="Calibri"/>
        </w:rPr>
        <w:t xml:space="preserve"> so naslednje (označeno s krepko pisavo)</w:t>
      </w:r>
      <w:r w:rsidRPr="00FF2E2F">
        <w:rPr>
          <w:rFonts w:cs="Calibri"/>
        </w:rPr>
        <w:t>:</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709"/>
        <w:gridCol w:w="1768"/>
        <w:gridCol w:w="3827"/>
        <w:gridCol w:w="1843"/>
        <w:gridCol w:w="1417"/>
      </w:tblGrid>
      <w:tr w:rsidR="00D9617B" w:rsidRPr="00530157" w14:paraId="34323CA1" w14:textId="77777777" w:rsidTr="00FF2E2F">
        <w:trPr>
          <w:trHeight w:val="325"/>
        </w:trPr>
        <w:tc>
          <w:tcPr>
            <w:tcW w:w="709" w:type="dxa"/>
            <w:shd w:val="clear" w:color="000000" w:fill="auto"/>
            <w:vAlign w:val="bottom"/>
            <w:hideMark/>
          </w:tcPr>
          <w:p w14:paraId="6698E584" w14:textId="77777777" w:rsidR="00D9617B" w:rsidRPr="00FF2E2F" w:rsidRDefault="00D9617B" w:rsidP="00404B5B">
            <w:pPr>
              <w:rPr>
                <w:rFonts w:asciiTheme="minorHAnsi" w:hAnsiTheme="minorHAnsi" w:cstheme="minorHAnsi"/>
                <w:bCs/>
                <w:i/>
                <w:sz w:val="20"/>
                <w:szCs w:val="20"/>
              </w:rPr>
            </w:pPr>
            <w:r w:rsidRPr="00FF2E2F">
              <w:rPr>
                <w:rFonts w:asciiTheme="minorHAnsi" w:hAnsiTheme="minorHAnsi" w:cstheme="minorHAnsi"/>
                <w:bCs/>
                <w:i/>
                <w:sz w:val="20"/>
                <w:szCs w:val="20"/>
              </w:rPr>
              <w:t>Šifra</w:t>
            </w:r>
          </w:p>
        </w:tc>
        <w:tc>
          <w:tcPr>
            <w:tcW w:w="1768" w:type="dxa"/>
            <w:shd w:val="clear" w:color="000000" w:fill="auto"/>
            <w:vAlign w:val="bottom"/>
            <w:hideMark/>
          </w:tcPr>
          <w:p w14:paraId="12A9DC29" w14:textId="77777777" w:rsidR="00D9617B" w:rsidRPr="00FF2E2F" w:rsidRDefault="00D9617B" w:rsidP="00404B5B">
            <w:pPr>
              <w:rPr>
                <w:rFonts w:asciiTheme="minorHAnsi" w:hAnsiTheme="minorHAnsi" w:cstheme="minorHAnsi"/>
                <w:bCs/>
                <w:i/>
                <w:sz w:val="20"/>
                <w:szCs w:val="20"/>
              </w:rPr>
            </w:pPr>
            <w:r w:rsidRPr="00FF2E2F">
              <w:rPr>
                <w:rFonts w:asciiTheme="minorHAnsi" w:hAnsiTheme="minorHAnsi" w:cstheme="minorHAnsi"/>
                <w:bCs/>
                <w:i/>
                <w:sz w:val="20"/>
                <w:szCs w:val="20"/>
              </w:rPr>
              <w:t>Kratek opis</w:t>
            </w:r>
          </w:p>
        </w:tc>
        <w:tc>
          <w:tcPr>
            <w:tcW w:w="3827" w:type="dxa"/>
            <w:shd w:val="clear" w:color="000000" w:fill="auto"/>
            <w:vAlign w:val="bottom"/>
          </w:tcPr>
          <w:p w14:paraId="196FD741" w14:textId="77777777" w:rsidR="00D9617B" w:rsidRPr="00FF2E2F" w:rsidRDefault="00D9617B" w:rsidP="00404B5B">
            <w:pPr>
              <w:rPr>
                <w:rFonts w:asciiTheme="minorHAnsi" w:hAnsiTheme="minorHAnsi" w:cstheme="minorHAnsi"/>
                <w:bCs/>
                <w:i/>
                <w:sz w:val="20"/>
                <w:szCs w:val="20"/>
              </w:rPr>
            </w:pPr>
            <w:r w:rsidRPr="00FF2E2F">
              <w:rPr>
                <w:rFonts w:asciiTheme="minorHAnsi" w:hAnsiTheme="minorHAnsi" w:cstheme="minorHAnsi"/>
                <w:bCs/>
                <w:i/>
                <w:sz w:val="20"/>
                <w:szCs w:val="20"/>
              </w:rPr>
              <w:t>Dolg opis</w:t>
            </w:r>
          </w:p>
        </w:tc>
        <w:tc>
          <w:tcPr>
            <w:tcW w:w="1843" w:type="dxa"/>
            <w:shd w:val="clear" w:color="000000" w:fill="auto"/>
            <w:vAlign w:val="bottom"/>
            <w:hideMark/>
          </w:tcPr>
          <w:p w14:paraId="72A1A197" w14:textId="77777777" w:rsidR="00D9617B" w:rsidRPr="00FF2E2F" w:rsidRDefault="00D9617B" w:rsidP="00404B5B">
            <w:pPr>
              <w:rPr>
                <w:rFonts w:asciiTheme="minorHAnsi" w:hAnsiTheme="minorHAnsi" w:cstheme="minorHAnsi"/>
                <w:bCs/>
                <w:i/>
                <w:sz w:val="20"/>
                <w:szCs w:val="20"/>
              </w:rPr>
            </w:pPr>
            <w:r w:rsidRPr="00FF2E2F">
              <w:rPr>
                <w:rFonts w:asciiTheme="minorHAnsi" w:hAnsiTheme="minorHAnsi" w:cstheme="minorHAnsi"/>
                <w:bCs/>
                <w:i/>
                <w:sz w:val="20"/>
                <w:szCs w:val="20"/>
              </w:rPr>
              <w:t>Naziv enote mere</w:t>
            </w:r>
          </w:p>
        </w:tc>
        <w:tc>
          <w:tcPr>
            <w:tcW w:w="1417" w:type="dxa"/>
            <w:shd w:val="clear" w:color="000000" w:fill="auto"/>
            <w:vAlign w:val="bottom"/>
            <w:hideMark/>
          </w:tcPr>
          <w:p w14:paraId="3DC11AE9" w14:textId="6B84D9CB" w:rsidR="00D9617B" w:rsidRPr="00FF2E2F" w:rsidRDefault="00D9617B" w:rsidP="00FF2E2F">
            <w:pPr>
              <w:rPr>
                <w:rFonts w:asciiTheme="minorHAnsi" w:hAnsiTheme="minorHAnsi" w:cstheme="minorHAnsi"/>
                <w:bCs/>
                <w:i/>
                <w:sz w:val="20"/>
                <w:szCs w:val="20"/>
              </w:rPr>
            </w:pPr>
            <w:proofErr w:type="gramStart"/>
            <w:r w:rsidRPr="00FF2E2F">
              <w:rPr>
                <w:rFonts w:asciiTheme="minorHAnsi" w:hAnsiTheme="minorHAnsi" w:cstheme="minorHAnsi"/>
                <w:bCs/>
                <w:i/>
                <w:sz w:val="20"/>
                <w:szCs w:val="20"/>
              </w:rPr>
              <w:t>Nivo</w:t>
            </w:r>
            <w:proofErr w:type="gramEnd"/>
            <w:r w:rsidRPr="00FF2E2F">
              <w:rPr>
                <w:rFonts w:asciiTheme="minorHAnsi" w:hAnsiTheme="minorHAnsi" w:cstheme="minorHAnsi"/>
                <w:bCs/>
                <w:i/>
                <w:sz w:val="20"/>
                <w:szCs w:val="20"/>
              </w:rPr>
              <w:t xml:space="preserve"> planiranja</w:t>
            </w:r>
          </w:p>
        </w:tc>
      </w:tr>
      <w:tr w:rsidR="00D9617B" w:rsidRPr="007E10CE" w14:paraId="1C10A706" w14:textId="77777777" w:rsidTr="00FF2E2F">
        <w:trPr>
          <w:trHeight w:val="287"/>
        </w:trPr>
        <w:tc>
          <w:tcPr>
            <w:tcW w:w="709" w:type="dxa"/>
            <w:shd w:val="clear" w:color="000000" w:fill="auto"/>
            <w:vAlign w:val="bottom"/>
          </w:tcPr>
          <w:p w14:paraId="064CBA1E" w14:textId="6421F56D" w:rsidR="00D9617B" w:rsidRPr="00FF2E2F" w:rsidRDefault="00D9617B" w:rsidP="00D9617B">
            <w:pPr>
              <w:rPr>
                <w:rFonts w:asciiTheme="minorHAnsi" w:hAnsiTheme="minorHAnsi" w:cstheme="minorHAnsi"/>
                <w:b/>
                <w:sz w:val="20"/>
                <w:szCs w:val="20"/>
              </w:rPr>
            </w:pPr>
            <w:r w:rsidRPr="00FF2E2F">
              <w:rPr>
                <w:rFonts w:asciiTheme="minorHAnsi" w:hAnsiTheme="minorHAnsi" w:cstheme="minorHAnsi"/>
                <w:sz w:val="20"/>
                <w:szCs w:val="20"/>
              </w:rPr>
              <w:t>E0259</w:t>
            </w:r>
          </w:p>
        </w:tc>
        <w:tc>
          <w:tcPr>
            <w:tcW w:w="1768" w:type="dxa"/>
            <w:shd w:val="clear" w:color="000000" w:fill="auto"/>
            <w:vAlign w:val="bottom"/>
          </w:tcPr>
          <w:p w14:paraId="488CCB44" w14:textId="489783B1" w:rsidR="00D9617B" w:rsidRPr="00FF2E2F" w:rsidRDefault="00D9617B" w:rsidP="00FF2E2F">
            <w:pPr>
              <w:jc w:val="left"/>
              <w:rPr>
                <w:rFonts w:asciiTheme="minorHAnsi" w:hAnsiTheme="minorHAnsi" w:cstheme="minorHAnsi"/>
                <w:b/>
                <w:color w:val="000000"/>
                <w:sz w:val="20"/>
                <w:szCs w:val="20"/>
              </w:rPr>
            </w:pPr>
            <w:r w:rsidRPr="00FF2E2F">
              <w:rPr>
                <w:rFonts w:asciiTheme="minorHAnsi" w:hAnsiTheme="minorHAnsi" w:cstheme="minorHAnsi"/>
                <w:sz w:val="20"/>
                <w:szCs w:val="20"/>
              </w:rPr>
              <w:t>Patološke, citološke preiskave - bolnice</w:t>
            </w:r>
          </w:p>
        </w:tc>
        <w:tc>
          <w:tcPr>
            <w:tcW w:w="3827" w:type="dxa"/>
            <w:shd w:val="clear" w:color="000000" w:fill="auto"/>
            <w:vAlign w:val="bottom"/>
          </w:tcPr>
          <w:p w14:paraId="5C5EDCA6" w14:textId="678C5A6A" w:rsidR="00D9617B" w:rsidRPr="00FF2E2F" w:rsidRDefault="00D9617B" w:rsidP="00D9617B">
            <w:pPr>
              <w:rPr>
                <w:rFonts w:asciiTheme="minorHAnsi" w:hAnsiTheme="minorHAnsi" w:cstheme="minorHAnsi"/>
                <w:b/>
                <w:color w:val="000000"/>
                <w:sz w:val="20"/>
                <w:szCs w:val="20"/>
              </w:rPr>
            </w:pPr>
            <w:r w:rsidRPr="00FF2E2F">
              <w:rPr>
                <w:rFonts w:asciiTheme="minorHAnsi" w:hAnsiTheme="minorHAnsi" w:cstheme="minorHAnsi"/>
                <w:sz w:val="20"/>
                <w:szCs w:val="20"/>
              </w:rPr>
              <w:t>Patološke in citološke preiskave v bolnišnicah</w:t>
            </w:r>
          </w:p>
        </w:tc>
        <w:tc>
          <w:tcPr>
            <w:tcW w:w="1843" w:type="dxa"/>
            <w:shd w:val="clear" w:color="000000" w:fill="auto"/>
            <w:vAlign w:val="bottom"/>
          </w:tcPr>
          <w:p w14:paraId="3E43AA31" w14:textId="77777777" w:rsidR="00D9617B" w:rsidRPr="00FF2E2F" w:rsidRDefault="00D9617B" w:rsidP="00D9617B">
            <w:pPr>
              <w:rPr>
                <w:rFonts w:asciiTheme="minorHAnsi" w:hAnsiTheme="minorHAnsi" w:cstheme="minorHAnsi"/>
                <w:bCs/>
                <w:sz w:val="20"/>
                <w:szCs w:val="20"/>
              </w:rPr>
            </w:pPr>
            <w:r w:rsidRPr="00FF2E2F">
              <w:rPr>
                <w:rFonts w:asciiTheme="minorHAnsi" w:hAnsiTheme="minorHAnsi" w:cstheme="minorHAnsi"/>
                <w:bCs/>
                <w:sz w:val="20"/>
                <w:szCs w:val="20"/>
              </w:rPr>
              <w:t>Točka</w:t>
            </w:r>
          </w:p>
        </w:tc>
        <w:tc>
          <w:tcPr>
            <w:tcW w:w="1417" w:type="dxa"/>
            <w:shd w:val="clear" w:color="000000" w:fill="auto"/>
            <w:vAlign w:val="bottom"/>
          </w:tcPr>
          <w:p w14:paraId="44E4E421" w14:textId="2EF8C5D3" w:rsidR="00D9617B" w:rsidRPr="00FF2E2F" w:rsidRDefault="00D9617B" w:rsidP="00D9617B">
            <w:pPr>
              <w:jc w:val="center"/>
              <w:rPr>
                <w:rFonts w:asciiTheme="minorHAnsi" w:hAnsiTheme="minorHAnsi" w:cstheme="minorHAnsi"/>
                <w:b/>
                <w:bCs/>
                <w:sz w:val="20"/>
                <w:szCs w:val="20"/>
              </w:rPr>
            </w:pPr>
            <w:r w:rsidRPr="00FF2E2F">
              <w:rPr>
                <w:rFonts w:asciiTheme="minorHAnsi" w:hAnsiTheme="minorHAnsi" w:cstheme="minorHAnsi"/>
                <w:b/>
                <w:bCs/>
                <w:sz w:val="20"/>
                <w:szCs w:val="20"/>
              </w:rPr>
              <w:t>E0259</w:t>
            </w:r>
          </w:p>
        </w:tc>
      </w:tr>
    </w:tbl>
    <w:p w14:paraId="4448A6D0" w14:textId="77777777" w:rsidR="00D9617B" w:rsidRDefault="00D9617B" w:rsidP="00D9617B">
      <w:pPr>
        <w:pStyle w:val="Odstavekseznama"/>
        <w:ind w:left="0"/>
        <w:contextualSpacing/>
        <w:jc w:val="both"/>
        <w:rPr>
          <w:rFonts w:ascii="Calibri" w:hAnsi="Calibri" w:cs="Calibri"/>
          <w:color w:val="000000"/>
          <w:sz w:val="22"/>
          <w:szCs w:val="22"/>
        </w:rPr>
      </w:pPr>
    </w:p>
    <w:p w14:paraId="1C6208BD" w14:textId="77777777" w:rsidR="00D9617B" w:rsidRDefault="00D9617B" w:rsidP="00D9617B">
      <w:pPr>
        <w:widowControl w:val="0"/>
        <w:suppressAutoHyphens/>
        <w:rPr>
          <w:color w:val="000000"/>
        </w:rPr>
      </w:pPr>
    </w:p>
    <w:p w14:paraId="77F6024A" w14:textId="77777777" w:rsidR="00D9617B" w:rsidRPr="00F127E5" w:rsidRDefault="00D9617B" w:rsidP="00D9617B">
      <w:pPr>
        <w:autoSpaceDE w:val="0"/>
        <w:autoSpaceDN w:val="0"/>
        <w:adjustRightInd w:val="0"/>
      </w:pPr>
      <w:r w:rsidRPr="00F127E5">
        <w:t xml:space="preserve">Kontaktna oseba za vsebinska vprašanja: </w:t>
      </w:r>
    </w:p>
    <w:p w14:paraId="33C2C399" w14:textId="3D981BCA" w:rsidR="00D9617B" w:rsidRDefault="00D9617B" w:rsidP="00D9617B">
      <w:pPr>
        <w:autoSpaceDE w:val="0"/>
        <w:autoSpaceDN w:val="0"/>
        <w:adjustRightInd w:val="0"/>
      </w:pPr>
      <w:r>
        <w:t>Marija Parkelj</w:t>
      </w:r>
      <w:r w:rsidRPr="001F05D2">
        <w:t xml:space="preserve"> (</w:t>
      </w:r>
      <w:bookmarkStart w:id="10" w:name="_Hlk93463817"/>
      <w:r>
        <w:fldChar w:fldCharType="begin"/>
      </w:r>
      <w:r>
        <w:instrText xml:space="preserve"> HYPERLINK "mailto:</w:instrText>
      </w:r>
      <w:r w:rsidRPr="00D9617B">
        <w:instrText>marija.parkelj@zzzs.si</w:instrText>
      </w:r>
      <w:r>
        <w:instrText xml:space="preserve">" </w:instrText>
      </w:r>
      <w:r>
        <w:fldChar w:fldCharType="separate"/>
      </w:r>
      <w:r w:rsidRPr="00AA5622">
        <w:rPr>
          <w:rStyle w:val="Hiperpovezava"/>
        </w:rPr>
        <w:t>marija.parkelj@zzzs.si</w:t>
      </w:r>
      <w:r>
        <w:fldChar w:fldCharType="end"/>
      </w:r>
      <w:r w:rsidRPr="001F05D2">
        <w:t xml:space="preserve">; </w:t>
      </w:r>
      <w:bookmarkEnd w:id="10"/>
      <w:r w:rsidRPr="001F05D2">
        <w:t>01/30-77-</w:t>
      </w:r>
      <w:r>
        <w:t>373</w:t>
      </w:r>
      <w:r w:rsidRPr="001F05D2">
        <w:t>)</w:t>
      </w:r>
    </w:p>
    <w:p w14:paraId="0F6EED7A" w14:textId="39B45DA0" w:rsidR="00FC0D55" w:rsidRDefault="00FC0D55" w:rsidP="00D9617B">
      <w:pPr>
        <w:autoSpaceDE w:val="0"/>
        <w:autoSpaceDN w:val="0"/>
        <w:adjustRightInd w:val="0"/>
      </w:pPr>
    </w:p>
    <w:p w14:paraId="5778897B" w14:textId="720D6EC2" w:rsidR="001D6DAC" w:rsidRDefault="001D6DAC" w:rsidP="00D9617B">
      <w:pPr>
        <w:autoSpaceDE w:val="0"/>
        <w:autoSpaceDN w:val="0"/>
        <w:adjustRightInd w:val="0"/>
      </w:pPr>
    </w:p>
    <w:p w14:paraId="649489B8" w14:textId="317448B0" w:rsidR="00FC0D55" w:rsidRDefault="00FC0D55" w:rsidP="00D9617B">
      <w:pPr>
        <w:autoSpaceDE w:val="0"/>
        <w:autoSpaceDN w:val="0"/>
        <w:adjustRightInd w:val="0"/>
      </w:pPr>
    </w:p>
    <w:p w14:paraId="5515508B" w14:textId="51C6AD6E" w:rsidR="00FC0D55" w:rsidRPr="00FC0D55" w:rsidRDefault="00FC0D55" w:rsidP="00FC0D55">
      <w:pPr>
        <w:pStyle w:val="Naslov1"/>
        <w:numPr>
          <w:ilvl w:val="0"/>
          <w:numId w:val="9"/>
        </w:numPr>
        <w:ind w:left="284"/>
        <w:rPr>
          <w:rFonts w:cs="Calibri"/>
        </w:rPr>
      </w:pPr>
      <w:bookmarkStart w:id="11" w:name="_Toc93467002"/>
      <w:r w:rsidRPr="00FC0D55">
        <w:rPr>
          <w:rFonts w:cs="Calibri"/>
        </w:rPr>
        <w:t xml:space="preserve">Ortodontija </w:t>
      </w:r>
      <w:r w:rsidR="00267B44">
        <w:rPr>
          <w:rFonts w:cs="Calibri"/>
        </w:rPr>
        <w:t>–</w:t>
      </w:r>
      <w:r w:rsidRPr="00FC0D55">
        <w:rPr>
          <w:rFonts w:cs="Calibri"/>
        </w:rPr>
        <w:t xml:space="preserve"> </w:t>
      </w:r>
      <w:r w:rsidR="00267B44">
        <w:rPr>
          <w:rFonts w:cs="Calibri"/>
        </w:rPr>
        <w:t>zamik uvedbe spremljanja podatkov o zdravstvenih listinah</w:t>
      </w:r>
      <w:bookmarkEnd w:id="11"/>
    </w:p>
    <w:p w14:paraId="4C6C3CED" w14:textId="684FE166" w:rsidR="00411535" w:rsidRDefault="00411535" w:rsidP="00853ABB"/>
    <w:p w14:paraId="6413BA26" w14:textId="38121115" w:rsidR="00FC0D55" w:rsidRPr="000D709E" w:rsidRDefault="00FC0D55" w:rsidP="00FC0D55">
      <w:pPr>
        <w:keepNext/>
        <w:keepLines/>
        <w:rPr>
          <w:i/>
          <w:color w:val="0070C0"/>
        </w:rPr>
      </w:pPr>
      <w:r w:rsidRPr="0013409E">
        <w:rPr>
          <w:i/>
          <w:color w:val="0070C0"/>
        </w:rPr>
        <w:t>Vsem</w:t>
      </w:r>
      <w:r>
        <w:rPr>
          <w:i/>
          <w:color w:val="0070C0"/>
        </w:rPr>
        <w:t xml:space="preserve"> izvajalcem ortodontije</w:t>
      </w:r>
    </w:p>
    <w:p w14:paraId="63D937B8" w14:textId="77777777" w:rsidR="00FC0D55" w:rsidRDefault="00FC0D55" w:rsidP="00FC0D55">
      <w:pPr>
        <w:widowControl w:val="0"/>
        <w:suppressAutoHyphens/>
        <w:rPr>
          <w:color w:val="000000"/>
        </w:rPr>
      </w:pPr>
    </w:p>
    <w:p w14:paraId="1F3B679C" w14:textId="77777777" w:rsidR="00FC0D55" w:rsidRDefault="00FC0D55" w:rsidP="00FC0D55">
      <w:pPr>
        <w:rPr>
          <w:rFonts w:cs="Calibri"/>
          <w:b/>
          <w:bCs/>
        </w:rPr>
      </w:pPr>
      <w:r w:rsidRPr="002E77F9">
        <w:rPr>
          <w:rFonts w:cs="Calibri"/>
          <w:b/>
          <w:bCs/>
        </w:rPr>
        <w:t>Povzetek vsebine</w:t>
      </w:r>
    </w:p>
    <w:p w14:paraId="45029660" w14:textId="77777777" w:rsidR="00FC0D55" w:rsidRDefault="00FC0D55" w:rsidP="00FC0D55">
      <w:pPr>
        <w:widowControl w:val="0"/>
        <w:suppressAutoHyphens/>
        <w:rPr>
          <w:color w:val="000000"/>
        </w:rPr>
      </w:pPr>
    </w:p>
    <w:p w14:paraId="7A75D2F3" w14:textId="720E52D8" w:rsidR="001A0EA3" w:rsidRDefault="001A0EA3" w:rsidP="001A0EA3">
      <w:pPr>
        <w:pStyle w:val="Odstavekseznama"/>
        <w:ind w:left="0"/>
        <w:contextualSpacing/>
        <w:jc w:val="both"/>
        <w:rPr>
          <w:rFonts w:ascii="Calibri" w:hAnsi="Calibri" w:cs="Calibri"/>
          <w:color w:val="000000"/>
          <w:sz w:val="22"/>
          <w:szCs w:val="22"/>
        </w:rPr>
      </w:pPr>
      <w:bookmarkStart w:id="12" w:name="_Toc83632602"/>
      <w:bookmarkStart w:id="13" w:name="_Toc87953741"/>
      <w:r>
        <w:rPr>
          <w:rFonts w:ascii="Calibri" w:hAnsi="Calibri" w:cs="Calibri"/>
          <w:color w:val="000000"/>
          <w:sz w:val="22"/>
          <w:szCs w:val="22"/>
        </w:rPr>
        <w:t xml:space="preserve">Z Okrožnico ZAE 16/21 je Zavod </w:t>
      </w:r>
      <w:r w:rsidR="00267B44">
        <w:rPr>
          <w:rFonts w:ascii="Calibri" w:hAnsi="Calibri" w:cs="Calibri"/>
          <w:color w:val="000000"/>
          <w:sz w:val="22"/>
          <w:szCs w:val="22"/>
        </w:rPr>
        <w:t xml:space="preserve">s </w:t>
      </w:r>
      <w:proofErr w:type="gramStart"/>
      <w:r w:rsidR="00267B44">
        <w:rPr>
          <w:rFonts w:ascii="Calibri" w:hAnsi="Calibri" w:cs="Calibri"/>
          <w:color w:val="000000"/>
          <w:sz w:val="22"/>
          <w:szCs w:val="22"/>
        </w:rPr>
        <w:t>1. 1. 2022</w:t>
      </w:r>
      <w:proofErr w:type="gramEnd"/>
      <w:r w:rsidR="00267B44">
        <w:rPr>
          <w:rFonts w:ascii="Calibri" w:hAnsi="Calibri" w:cs="Calibri"/>
          <w:color w:val="000000"/>
          <w:sz w:val="22"/>
          <w:szCs w:val="22"/>
        </w:rPr>
        <w:t xml:space="preserve"> </w:t>
      </w:r>
      <w:r>
        <w:rPr>
          <w:rFonts w:ascii="Calibri" w:hAnsi="Calibri" w:cs="Calibri"/>
          <w:color w:val="000000"/>
          <w:sz w:val="22"/>
          <w:szCs w:val="22"/>
        </w:rPr>
        <w:t xml:space="preserve">na novo uvedel </w:t>
      </w:r>
      <w:r w:rsidRPr="001A0EA3">
        <w:rPr>
          <w:rFonts w:ascii="Calibri" w:hAnsi="Calibri" w:cs="Calibri"/>
          <w:color w:val="000000"/>
          <w:sz w:val="22"/>
          <w:szCs w:val="22"/>
        </w:rPr>
        <w:t>spremljanj</w:t>
      </w:r>
      <w:r>
        <w:rPr>
          <w:rFonts w:ascii="Calibri" w:hAnsi="Calibri" w:cs="Calibri"/>
          <w:color w:val="000000"/>
          <w:sz w:val="22"/>
          <w:szCs w:val="22"/>
        </w:rPr>
        <w:t>e</w:t>
      </w:r>
      <w:r w:rsidRPr="001A0EA3">
        <w:rPr>
          <w:rFonts w:ascii="Calibri" w:hAnsi="Calibri" w:cs="Calibri"/>
          <w:color w:val="000000"/>
          <w:sz w:val="22"/>
          <w:szCs w:val="22"/>
        </w:rPr>
        <w:t xml:space="preserve"> podatkov o zdravstvenih listinah v povezavi z </w:t>
      </w:r>
      <w:proofErr w:type="spellStart"/>
      <w:r w:rsidRPr="001A0EA3">
        <w:rPr>
          <w:rFonts w:ascii="Calibri" w:hAnsi="Calibri" w:cs="Calibri"/>
          <w:color w:val="000000"/>
          <w:sz w:val="22"/>
          <w:szCs w:val="22"/>
        </w:rPr>
        <w:t>eNaročanjem</w:t>
      </w:r>
      <w:proofErr w:type="spellEnd"/>
      <w:r w:rsidRPr="001A0EA3">
        <w:rPr>
          <w:rFonts w:ascii="Calibri" w:hAnsi="Calibri" w:cs="Calibri"/>
          <w:color w:val="000000"/>
          <w:sz w:val="22"/>
          <w:szCs w:val="22"/>
        </w:rPr>
        <w:t xml:space="preserve"> </w:t>
      </w:r>
      <w:bookmarkEnd w:id="12"/>
      <w:bookmarkEnd w:id="13"/>
      <w:r>
        <w:rPr>
          <w:rFonts w:ascii="Calibri" w:hAnsi="Calibri" w:cs="Calibri"/>
          <w:color w:val="000000"/>
          <w:sz w:val="22"/>
          <w:szCs w:val="22"/>
        </w:rPr>
        <w:t>za nekatere zdravstvene dejavnosti, med drugim tudi za dejavnost 401 110 »Ortodontija«.</w:t>
      </w:r>
    </w:p>
    <w:p w14:paraId="0F4FBE64" w14:textId="511A43F2" w:rsidR="00FC0D55" w:rsidRPr="00483132" w:rsidRDefault="001A0EA3" w:rsidP="00267B44">
      <w:pPr>
        <w:pStyle w:val="Odstavekseznama"/>
        <w:ind w:left="0"/>
        <w:contextualSpacing/>
        <w:jc w:val="both"/>
        <w:rPr>
          <w:rFonts w:ascii="Calibri" w:hAnsi="Calibri" w:cs="Calibri"/>
          <w:color w:val="000000"/>
          <w:sz w:val="22"/>
          <w:szCs w:val="22"/>
        </w:rPr>
      </w:pPr>
      <w:r>
        <w:rPr>
          <w:rFonts w:ascii="Calibri" w:hAnsi="Calibri" w:cs="Calibri"/>
          <w:color w:val="000000"/>
          <w:sz w:val="22"/>
          <w:szCs w:val="22"/>
        </w:rPr>
        <w:lastRenderedPageBreak/>
        <w:t xml:space="preserve">Ker nova obračunska pravila posegajo v organizacijo dela ortodontov, </w:t>
      </w:r>
      <w:r w:rsidR="006914D9">
        <w:rPr>
          <w:rFonts w:ascii="Calibri" w:hAnsi="Calibri" w:cs="Calibri"/>
          <w:color w:val="000000"/>
          <w:sz w:val="22"/>
          <w:szCs w:val="22"/>
        </w:rPr>
        <w:t xml:space="preserve">obvezno beleženje </w:t>
      </w:r>
      <w:r w:rsidRPr="001A0EA3">
        <w:rPr>
          <w:rFonts w:ascii="Calibri" w:hAnsi="Calibri" w:cs="Calibri"/>
          <w:color w:val="000000"/>
          <w:sz w:val="22"/>
          <w:szCs w:val="22"/>
        </w:rPr>
        <w:t>podatkov o zdravstvenih listinah</w:t>
      </w:r>
      <w:r>
        <w:rPr>
          <w:rFonts w:ascii="Calibri" w:hAnsi="Calibri" w:cs="Calibri"/>
          <w:color w:val="000000"/>
          <w:sz w:val="22"/>
          <w:szCs w:val="22"/>
        </w:rPr>
        <w:t xml:space="preserve"> za izvajalce ortodontije zamikamo za 3 mesece</w:t>
      </w:r>
      <w:r w:rsidR="006914D9">
        <w:rPr>
          <w:rFonts w:ascii="Calibri" w:hAnsi="Calibri" w:cs="Calibri"/>
          <w:color w:val="000000"/>
          <w:sz w:val="22"/>
          <w:szCs w:val="22"/>
        </w:rPr>
        <w:t>, kar pomeni, da bo beleženje v tem času dovoljeno, ne bo pa obvezno. Obvezno</w:t>
      </w:r>
      <w:r>
        <w:rPr>
          <w:rFonts w:ascii="Calibri" w:hAnsi="Calibri" w:cs="Calibri"/>
          <w:color w:val="000000"/>
          <w:sz w:val="22"/>
          <w:szCs w:val="22"/>
        </w:rPr>
        <w:t xml:space="preserve"> pošiljanje podatkov</w:t>
      </w:r>
      <w:r w:rsidR="006914D9">
        <w:rPr>
          <w:rFonts w:ascii="Calibri" w:hAnsi="Calibri" w:cs="Calibri"/>
          <w:color w:val="000000"/>
          <w:sz w:val="22"/>
          <w:szCs w:val="22"/>
        </w:rPr>
        <w:t xml:space="preserve"> o zdravstvenih listinah</w:t>
      </w:r>
      <w:r>
        <w:rPr>
          <w:rFonts w:ascii="Calibri" w:hAnsi="Calibri" w:cs="Calibri"/>
          <w:color w:val="000000"/>
          <w:sz w:val="22"/>
          <w:szCs w:val="22"/>
        </w:rPr>
        <w:t xml:space="preserve"> </w:t>
      </w:r>
      <w:r w:rsidR="006914D9">
        <w:rPr>
          <w:rFonts w:ascii="Calibri" w:hAnsi="Calibri" w:cs="Calibri"/>
          <w:color w:val="000000"/>
          <w:sz w:val="22"/>
          <w:szCs w:val="22"/>
        </w:rPr>
        <w:t xml:space="preserve">bo ponovno veljalo za storitve, opravljene od 1. aprila 2022 dalje. </w:t>
      </w:r>
    </w:p>
    <w:p w14:paraId="0147A9D2" w14:textId="77777777" w:rsidR="00FC0D55" w:rsidRDefault="00FC0D55" w:rsidP="00FC0D55">
      <w:pPr>
        <w:widowControl w:val="0"/>
        <w:suppressAutoHyphens/>
        <w:spacing w:before="100" w:beforeAutospacing="1"/>
        <w:rPr>
          <w:rFonts w:cs="Calibri"/>
          <w:b/>
          <w:bCs/>
          <w:color w:val="000000"/>
        </w:rPr>
      </w:pPr>
      <w:r w:rsidRPr="002E77F9">
        <w:rPr>
          <w:rFonts w:cs="Calibri"/>
          <w:b/>
          <w:bCs/>
          <w:color w:val="000000"/>
        </w:rPr>
        <w:t>Navodilo za obračun</w:t>
      </w:r>
    </w:p>
    <w:p w14:paraId="354A8633" w14:textId="77777777" w:rsidR="00FC0D55" w:rsidRDefault="00FC0D55" w:rsidP="00FC0D55">
      <w:pPr>
        <w:pStyle w:val="Odstavekseznama"/>
        <w:ind w:left="0"/>
        <w:contextualSpacing/>
        <w:jc w:val="both"/>
        <w:rPr>
          <w:rFonts w:ascii="Calibri" w:hAnsi="Calibri" w:cs="Calibri"/>
          <w:color w:val="000000"/>
          <w:sz w:val="22"/>
          <w:szCs w:val="22"/>
        </w:rPr>
      </w:pPr>
    </w:p>
    <w:p w14:paraId="1EE57F4D" w14:textId="5CD83BCD" w:rsidR="00FC0D55" w:rsidRDefault="00FC0D55" w:rsidP="00FC0D55">
      <w:pPr>
        <w:pStyle w:val="Odstavekseznama"/>
        <w:ind w:left="0"/>
        <w:contextualSpacing/>
        <w:jc w:val="both"/>
        <w:rPr>
          <w:rFonts w:ascii="Calibri" w:hAnsi="Calibri" w:cs="Calibri"/>
          <w:color w:val="000000"/>
          <w:sz w:val="22"/>
          <w:szCs w:val="22"/>
        </w:rPr>
      </w:pPr>
      <w:r>
        <w:rPr>
          <w:rFonts w:ascii="Calibri" w:hAnsi="Calibri" w:cs="Calibri"/>
          <w:color w:val="000000"/>
          <w:sz w:val="22"/>
          <w:szCs w:val="22"/>
        </w:rPr>
        <w:t xml:space="preserve">Skladno z navedenim </w:t>
      </w:r>
      <w:r w:rsidR="00267B44">
        <w:rPr>
          <w:rFonts w:ascii="Calibri" w:hAnsi="Calibri" w:cs="Calibri"/>
          <w:color w:val="000000"/>
          <w:sz w:val="22"/>
          <w:szCs w:val="22"/>
        </w:rPr>
        <w:t>v povezovalnem šifrantu</w:t>
      </w:r>
      <w:r w:rsidR="00354C15" w:rsidRPr="00267B44">
        <w:rPr>
          <w:rFonts w:ascii="Calibri" w:hAnsi="Calibri" w:cs="Calibri"/>
          <w:color w:val="000000"/>
          <w:sz w:val="22"/>
          <w:szCs w:val="22"/>
        </w:rPr>
        <w:t xml:space="preserve"> K4 </w:t>
      </w:r>
      <w:r w:rsidR="00267B44">
        <w:rPr>
          <w:rFonts w:ascii="Calibri" w:hAnsi="Calibri" w:cs="Calibri"/>
          <w:color w:val="000000"/>
          <w:sz w:val="22"/>
          <w:szCs w:val="22"/>
        </w:rPr>
        <w:t>»</w:t>
      </w:r>
      <w:r w:rsidR="00267B44" w:rsidRPr="00267B44">
        <w:rPr>
          <w:rFonts w:ascii="Calibri" w:hAnsi="Calibri" w:cs="Calibri"/>
          <w:color w:val="000000"/>
          <w:sz w:val="22"/>
          <w:szCs w:val="22"/>
        </w:rPr>
        <w:t>Parametri za kontrolo podatkov po vrstah in podvrstah zdravstvene dejavnosti</w:t>
      </w:r>
      <w:r w:rsidR="00267B44">
        <w:rPr>
          <w:rFonts w:ascii="Calibri" w:hAnsi="Calibri" w:cs="Calibri"/>
          <w:color w:val="000000"/>
          <w:sz w:val="22"/>
          <w:szCs w:val="22"/>
        </w:rPr>
        <w:t>« v dejavnosti 401 110 »O</w:t>
      </w:r>
      <w:r w:rsidR="00354C15" w:rsidRPr="00267B44">
        <w:rPr>
          <w:rFonts w:ascii="Calibri" w:hAnsi="Calibri" w:cs="Calibri"/>
          <w:color w:val="000000"/>
          <w:sz w:val="22"/>
          <w:szCs w:val="22"/>
        </w:rPr>
        <w:t>rtodontij</w:t>
      </w:r>
      <w:r w:rsidR="00267B44">
        <w:rPr>
          <w:rFonts w:ascii="Calibri" w:hAnsi="Calibri" w:cs="Calibri"/>
          <w:color w:val="000000"/>
          <w:sz w:val="22"/>
          <w:szCs w:val="22"/>
        </w:rPr>
        <w:t>a« spreminjamo</w:t>
      </w:r>
      <w:r w:rsidR="00354C15" w:rsidRPr="00267B44">
        <w:rPr>
          <w:rFonts w:ascii="Calibri" w:hAnsi="Calibri" w:cs="Calibri"/>
          <w:color w:val="000000"/>
          <w:sz w:val="22"/>
          <w:szCs w:val="22"/>
        </w:rPr>
        <w:t xml:space="preserve"> podatka "Navajanje podatkov o listinah in diagnozah pri obravnavi na strukturi Obravnava in listinah na strukturi SBD obravnava" (stolpec 14) in "Obveznost navajanja Oznake podlage za obravnavo 1 - zdravstvena listina" (stolpec 16) iz O </w:t>
      </w:r>
      <w:r w:rsidR="00267B44">
        <w:rPr>
          <w:rFonts w:ascii="Calibri" w:hAnsi="Calibri" w:cs="Calibri"/>
          <w:color w:val="000000"/>
          <w:sz w:val="22"/>
          <w:szCs w:val="22"/>
        </w:rPr>
        <w:t>»O</w:t>
      </w:r>
      <w:r w:rsidR="00354C15" w:rsidRPr="00267B44">
        <w:rPr>
          <w:rFonts w:ascii="Calibri" w:hAnsi="Calibri" w:cs="Calibri"/>
          <w:color w:val="000000"/>
          <w:sz w:val="22"/>
          <w:szCs w:val="22"/>
        </w:rPr>
        <w:t>bvezno</w:t>
      </w:r>
      <w:r w:rsidR="00267B44">
        <w:rPr>
          <w:rFonts w:ascii="Calibri" w:hAnsi="Calibri" w:cs="Calibri"/>
          <w:color w:val="000000"/>
          <w:sz w:val="22"/>
          <w:szCs w:val="22"/>
        </w:rPr>
        <w:t>«</w:t>
      </w:r>
      <w:r w:rsidR="00354C15" w:rsidRPr="00267B44">
        <w:rPr>
          <w:rFonts w:ascii="Calibri" w:hAnsi="Calibri" w:cs="Calibri"/>
          <w:color w:val="000000"/>
          <w:sz w:val="22"/>
          <w:szCs w:val="22"/>
        </w:rPr>
        <w:t xml:space="preserve"> na D </w:t>
      </w:r>
      <w:r w:rsidR="00267B44">
        <w:rPr>
          <w:rFonts w:ascii="Calibri" w:hAnsi="Calibri" w:cs="Calibri"/>
          <w:color w:val="000000"/>
          <w:sz w:val="22"/>
          <w:szCs w:val="22"/>
        </w:rPr>
        <w:t>»D</w:t>
      </w:r>
      <w:r w:rsidR="00354C15" w:rsidRPr="00267B44">
        <w:rPr>
          <w:rFonts w:ascii="Calibri" w:hAnsi="Calibri" w:cs="Calibri"/>
          <w:color w:val="000000"/>
          <w:sz w:val="22"/>
          <w:szCs w:val="22"/>
        </w:rPr>
        <w:t>ovoljeno</w:t>
      </w:r>
      <w:r w:rsidR="00267B44">
        <w:rPr>
          <w:rFonts w:ascii="Calibri" w:hAnsi="Calibri" w:cs="Calibri"/>
          <w:color w:val="000000"/>
          <w:sz w:val="22"/>
          <w:szCs w:val="22"/>
        </w:rPr>
        <w:t>«.</w:t>
      </w:r>
    </w:p>
    <w:p w14:paraId="6E7B0F52" w14:textId="0207B38E" w:rsidR="00267B44" w:rsidRDefault="00267B44" w:rsidP="00FC0D55">
      <w:pPr>
        <w:pStyle w:val="Odstavekseznama"/>
        <w:ind w:left="0"/>
        <w:contextualSpacing/>
        <w:jc w:val="both"/>
        <w:rPr>
          <w:rFonts w:ascii="Calibri" w:hAnsi="Calibri" w:cs="Calibri"/>
          <w:color w:val="000000"/>
          <w:sz w:val="22"/>
          <w:szCs w:val="22"/>
        </w:rPr>
      </w:pPr>
    </w:p>
    <w:p w14:paraId="7C7FFE50" w14:textId="3C550C00" w:rsidR="00267B44" w:rsidRDefault="00267B44" w:rsidP="00FC0D55">
      <w:pPr>
        <w:pStyle w:val="Odstavekseznama"/>
        <w:ind w:left="0"/>
        <w:contextualSpacing/>
        <w:jc w:val="both"/>
        <w:rPr>
          <w:rFonts w:ascii="Calibri" w:hAnsi="Calibri" w:cs="Calibri"/>
          <w:color w:val="000000"/>
          <w:sz w:val="22"/>
          <w:szCs w:val="22"/>
        </w:rPr>
      </w:pPr>
      <w:r>
        <w:rPr>
          <w:rFonts w:ascii="Calibri" w:hAnsi="Calibri" w:cs="Calibri"/>
          <w:color w:val="000000"/>
          <w:sz w:val="22"/>
          <w:szCs w:val="22"/>
        </w:rPr>
        <w:t>Spremembe povezovalnega šifranta</w:t>
      </w:r>
      <w:r w:rsidRPr="00267B44">
        <w:rPr>
          <w:rFonts w:ascii="Calibri" w:hAnsi="Calibri" w:cs="Calibri"/>
          <w:color w:val="000000"/>
          <w:sz w:val="22"/>
          <w:szCs w:val="22"/>
        </w:rPr>
        <w:t xml:space="preserve"> K4</w:t>
      </w:r>
      <w:r>
        <w:rPr>
          <w:rFonts w:ascii="Calibri" w:hAnsi="Calibri" w:cs="Calibri"/>
          <w:color w:val="000000"/>
          <w:sz w:val="22"/>
          <w:szCs w:val="22"/>
        </w:rPr>
        <w:t xml:space="preserve"> so naslednje:</w:t>
      </w:r>
    </w:p>
    <w:tbl>
      <w:tblPr>
        <w:tblW w:w="5000" w:type="pct"/>
        <w:tblInd w:w="-5" w:type="dxa"/>
        <w:tblLayout w:type="fixed"/>
        <w:tblCellMar>
          <w:left w:w="70" w:type="dxa"/>
          <w:right w:w="70" w:type="dxa"/>
        </w:tblCellMar>
        <w:tblLook w:val="04A0" w:firstRow="1" w:lastRow="0" w:firstColumn="1" w:lastColumn="0" w:noHBand="0" w:noVBand="1"/>
      </w:tblPr>
      <w:tblGrid>
        <w:gridCol w:w="876"/>
        <w:gridCol w:w="542"/>
        <w:gridCol w:w="624"/>
        <w:gridCol w:w="2309"/>
        <w:gridCol w:w="2738"/>
        <w:gridCol w:w="2313"/>
      </w:tblGrid>
      <w:tr w:rsidR="001D6DAC" w:rsidRPr="001D6DAC" w14:paraId="4755A662" w14:textId="77777777" w:rsidTr="001D6DAC">
        <w:trPr>
          <w:trHeight w:val="480"/>
        </w:trPr>
        <w:tc>
          <w:tcPr>
            <w:tcW w:w="466" w:type="pct"/>
            <w:tcBorders>
              <w:top w:val="single" w:sz="4" w:space="0" w:color="auto"/>
              <w:left w:val="single" w:sz="4" w:space="0" w:color="auto"/>
              <w:bottom w:val="single" w:sz="4" w:space="0" w:color="auto"/>
              <w:right w:val="single" w:sz="4" w:space="0" w:color="auto"/>
            </w:tcBorders>
            <w:shd w:val="clear" w:color="auto" w:fill="auto"/>
            <w:vAlign w:val="bottom"/>
          </w:tcPr>
          <w:p w14:paraId="39988734" w14:textId="351938B9" w:rsidR="001D6DAC" w:rsidRPr="001D6DAC" w:rsidRDefault="001D6DAC" w:rsidP="001D6DAC">
            <w:pPr>
              <w:keepNext/>
              <w:rPr>
                <w:rFonts w:asciiTheme="minorHAnsi" w:hAnsiTheme="minorHAnsi" w:cstheme="minorHAnsi"/>
                <w:sz w:val="20"/>
                <w:szCs w:val="20"/>
              </w:rPr>
            </w:pPr>
            <w:proofErr w:type="spellStart"/>
            <w:r w:rsidRPr="001D6DAC">
              <w:rPr>
                <w:rFonts w:asciiTheme="minorHAnsi" w:hAnsiTheme="minorHAnsi" w:cstheme="minorHAnsi"/>
                <w:sz w:val="20"/>
                <w:szCs w:val="20"/>
              </w:rPr>
              <w:t>Q86.230</w:t>
            </w:r>
            <w:proofErr w:type="spellEnd"/>
          </w:p>
        </w:tc>
        <w:tc>
          <w:tcPr>
            <w:tcW w:w="1848" w:type="pct"/>
            <w:gridSpan w:val="3"/>
            <w:tcBorders>
              <w:top w:val="single" w:sz="4" w:space="0" w:color="auto"/>
              <w:left w:val="nil"/>
              <w:bottom w:val="single" w:sz="4" w:space="0" w:color="auto"/>
              <w:right w:val="single" w:sz="4" w:space="0" w:color="auto"/>
            </w:tcBorders>
            <w:shd w:val="clear" w:color="auto" w:fill="auto"/>
            <w:noWrap/>
            <w:vAlign w:val="bottom"/>
          </w:tcPr>
          <w:p w14:paraId="2B87B8DF" w14:textId="23A1EB0C" w:rsidR="001D6DAC" w:rsidRPr="001D6DAC" w:rsidRDefault="001D6DAC" w:rsidP="001D6DAC">
            <w:pPr>
              <w:keepNext/>
              <w:rPr>
                <w:rFonts w:asciiTheme="minorHAnsi" w:hAnsiTheme="minorHAnsi" w:cstheme="minorHAnsi"/>
                <w:sz w:val="20"/>
                <w:szCs w:val="20"/>
              </w:rPr>
            </w:pPr>
            <w:r w:rsidRPr="001D6DAC">
              <w:rPr>
                <w:rFonts w:asciiTheme="minorHAnsi" w:hAnsiTheme="minorHAnsi" w:cstheme="minorHAnsi"/>
                <w:sz w:val="20"/>
                <w:szCs w:val="20"/>
              </w:rPr>
              <w:t>Zobozdravstvena dejavnost</w:t>
            </w:r>
          </w:p>
        </w:tc>
        <w:tc>
          <w:tcPr>
            <w:tcW w:w="1456" w:type="pct"/>
            <w:tcBorders>
              <w:top w:val="single" w:sz="4" w:space="0" w:color="auto"/>
              <w:left w:val="single" w:sz="4" w:space="0" w:color="auto"/>
              <w:bottom w:val="single" w:sz="4" w:space="0" w:color="auto"/>
              <w:right w:val="single" w:sz="4" w:space="0" w:color="auto"/>
            </w:tcBorders>
            <w:shd w:val="clear" w:color="auto" w:fill="auto"/>
            <w:vAlign w:val="bottom"/>
          </w:tcPr>
          <w:p w14:paraId="10CC1AD5" w14:textId="4AE7BB30" w:rsidR="001D6DAC" w:rsidRPr="001D6DAC" w:rsidRDefault="001D6DAC" w:rsidP="001D6DAC">
            <w:pPr>
              <w:keepNext/>
              <w:rPr>
                <w:rFonts w:asciiTheme="minorHAnsi" w:hAnsiTheme="minorHAnsi" w:cstheme="minorHAnsi"/>
                <w:i/>
                <w:iCs/>
                <w:sz w:val="20"/>
                <w:szCs w:val="20"/>
              </w:rPr>
            </w:pPr>
            <w:r w:rsidRPr="001D6DAC">
              <w:rPr>
                <w:rFonts w:asciiTheme="minorHAnsi" w:hAnsiTheme="minorHAnsi" w:cstheme="minorHAnsi"/>
                <w:i/>
                <w:iCs/>
                <w:sz w:val="20"/>
                <w:szCs w:val="20"/>
              </w:rPr>
              <w:t>Navajanje podatkov o listinah in diagnozah pri obravnavi na strukturi Obravnava in listinah na strukturi SBD obravnava</w:t>
            </w:r>
          </w:p>
        </w:tc>
        <w:tc>
          <w:tcPr>
            <w:tcW w:w="1230" w:type="pct"/>
            <w:tcBorders>
              <w:top w:val="single" w:sz="4" w:space="0" w:color="auto"/>
              <w:left w:val="nil"/>
              <w:bottom w:val="single" w:sz="4" w:space="0" w:color="auto"/>
              <w:right w:val="single" w:sz="4" w:space="0" w:color="auto"/>
            </w:tcBorders>
            <w:shd w:val="clear" w:color="auto" w:fill="auto"/>
            <w:vAlign w:val="bottom"/>
          </w:tcPr>
          <w:p w14:paraId="012E0C5D" w14:textId="2D0C55CF" w:rsidR="001D6DAC" w:rsidRPr="001D6DAC" w:rsidRDefault="001D6DAC" w:rsidP="001D6DAC">
            <w:pPr>
              <w:keepNext/>
              <w:rPr>
                <w:rFonts w:asciiTheme="minorHAnsi" w:hAnsiTheme="minorHAnsi" w:cstheme="minorHAnsi"/>
                <w:i/>
                <w:iCs/>
                <w:sz w:val="20"/>
                <w:szCs w:val="20"/>
              </w:rPr>
            </w:pPr>
            <w:r w:rsidRPr="001D6DAC">
              <w:rPr>
                <w:rFonts w:asciiTheme="minorHAnsi" w:hAnsiTheme="minorHAnsi" w:cstheme="minorHAnsi"/>
                <w:i/>
                <w:iCs/>
                <w:sz w:val="20"/>
                <w:szCs w:val="20"/>
              </w:rPr>
              <w:t>Obveznost navajanja Oznake podlage za obravnavo 1 - zdravstvena listina</w:t>
            </w:r>
          </w:p>
        </w:tc>
      </w:tr>
      <w:tr w:rsidR="001D6DAC" w:rsidRPr="00DE497D" w14:paraId="642A82B7" w14:textId="77777777" w:rsidTr="001D6DAC">
        <w:trPr>
          <w:trHeight w:val="240"/>
        </w:trPr>
        <w:tc>
          <w:tcPr>
            <w:tcW w:w="466" w:type="pct"/>
            <w:tcBorders>
              <w:top w:val="single" w:sz="4" w:space="0" w:color="auto"/>
              <w:left w:val="single" w:sz="4" w:space="0" w:color="auto"/>
              <w:bottom w:val="single" w:sz="4" w:space="0" w:color="auto"/>
              <w:right w:val="single" w:sz="4" w:space="0" w:color="auto"/>
            </w:tcBorders>
            <w:shd w:val="clear" w:color="auto" w:fill="auto"/>
            <w:vAlign w:val="bottom"/>
          </w:tcPr>
          <w:p w14:paraId="3BDCE72D" w14:textId="7ECC298B" w:rsidR="001D6DAC" w:rsidRPr="001D6DAC" w:rsidRDefault="001D6DAC" w:rsidP="001D6DAC">
            <w:pPr>
              <w:keepNext/>
              <w:rPr>
                <w:rFonts w:asciiTheme="minorHAnsi" w:hAnsiTheme="minorHAnsi" w:cstheme="minorHAnsi"/>
                <w:b/>
                <w:bCs/>
                <w:sz w:val="20"/>
                <w:szCs w:val="20"/>
              </w:rPr>
            </w:pPr>
          </w:p>
        </w:tc>
        <w:tc>
          <w:tcPr>
            <w:tcW w:w="288" w:type="pct"/>
            <w:tcBorders>
              <w:top w:val="single" w:sz="4" w:space="0" w:color="auto"/>
              <w:left w:val="nil"/>
              <w:bottom w:val="single" w:sz="4" w:space="0" w:color="auto"/>
              <w:right w:val="single" w:sz="4" w:space="0" w:color="auto"/>
            </w:tcBorders>
            <w:shd w:val="clear" w:color="auto" w:fill="auto"/>
            <w:vAlign w:val="bottom"/>
          </w:tcPr>
          <w:p w14:paraId="249D8091" w14:textId="6B551809" w:rsidR="001D6DAC" w:rsidRPr="001D6DAC" w:rsidRDefault="001D6DAC" w:rsidP="001D6DAC">
            <w:pPr>
              <w:keepNext/>
              <w:jc w:val="right"/>
              <w:rPr>
                <w:rFonts w:asciiTheme="minorHAnsi" w:hAnsiTheme="minorHAnsi" w:cstheme="minorHAnsi"/>
                <w:sz w:val="20"/>
                <w:szCs w:val="20"/>
              </w:rPr>
            </w:pPr>
            <w:r w:rsidRPr="001D6DAC">
              <w:rPr>
                <w:rFonts w:asciiTheme="minorHAnsi" w:hAnsiTheme="minorHAnsi" w:cstheme="minorHAnsi"/>
                <w:sz w:val="20"/>
                <w:szCs w:val="20"/>
              </w:rPr>
              <w:t>401</w:t>
            </w:r>
          </w:p>
        </w:tc>
        <w:tc>
          <w:tcPr>
            <w:tcW w:w="1560" w:type="pct"/>
            <w:gridSpan w:val="2"/>
            <w:tcBorders>
              <w:top w:val="single" w:sz="4" w:space="0" w:color="auto"/>
              <w:left w:val="nil"/>
              <w:bottom w:val="single" w:sz="4" w:space="0" w:color="auto"/>
              <w:right w:val="single" w:sz="4" w:space="0" w:color="auto"/>
            </w:tcBorders>
            <w:shd w:val="clear" w:color="auto" w:fill="auto"/>
            <w:vAlign w:val="bottom"/>
          </w:tcPr>
          <w:p w14:paraId="4959FEA3" w14:textId="3A8808EE" w:rsidR="001D6DAC" w:rsidRPr="001D6DAC" w:rsidRDefault="001D6DAC" w:rsidP="001D6DAC">
            <w:pPr>
              <w:keepNext/>
              <w:rPr>
                <w:rFonts w:asciiTheme="minorHAnsi" w:hAnsiTheme="minorHAnsi" w:cstheme="minorHAnsi"/>
                <w:sz w:val="20"/>
                <w:szCs w:val="20"/>
              </w:rPr>
            </w:pPr>
            <w:r w:rsidRPr="001D6DAC">
              <w:rPr>
                <w:rFonts w:asciiTheme="minorHAnsi" w:hAnsiTheme="minorHAnsi" w:cstheme="minorHAnsi"/>
                <w:sz w:val="20"/>
                <w:szCs w:val="20"/>
              </w:rPr>
              <w:t>Čeljustna in zobna ortopedija v zobozdravstveni dejavnosti</w:t>
            </w:r>
          </w:p>
        </w:tc>
        <w:tc>
          <w:tcPr>
            <w:tcW w:w="1456" w:type="pct"/>
            <w:tcBorders>
              <w:top w:val="single" w:sz="4" w:space="0" w:color="auto"/>
              <w:left w:val="single" w:sz="4" w:space="0" w:color="auto"/>
              <w:bottom w:val="single" w:sz="4" w:space="0" w:color="auto"/>
              <w:right w:val="single" w:sz="4" w:space="0" w:color="auto"/>
            </w:tcBorders>
            <w:shd w:val="clear" w:color="auto" w:fill="auto"/>
            <w:vAlign w:val="bottom"/>
          </w:tcPr>
          <w:p w14:paraId="1C8A8364" w14:textId="72E329B3" w:rsidR="001D6DAC" w:rsidRPr="001D6DAC" w:rsidRDefault="001D6DAC" w:rsidP="001D6DAC">
            <w:pPr>
              <w:keepNext/>
              <w:rPr>
                <w:rFonts w:asciiTheme="minorHAnsi" w:hAnsiTheme="minorHAnsi" w:cstheme="minorHAnsi"/>
                <w:sz w:val="20"/>
                <w:szCs w:val="20"/>
              </w:rPr>
            </w:pPr>
          </w:p>
        </w:tc>
        <w:tc>
          <w:tcPr>
            <w:tcW w:w="1230" w:type="pct"/>
            <w:tcBorders>
              <w:top w:val="single" w:sz="4" w:space="0" w:color="auto"/>
              <w:left w:val="nil"/>
              <w:bottom w:val="single" w:sz="4" w:space="0" w:color="auto"/>
              <w:right w:val="single" w:sz="4" w:space="0" w:color="auto"/>
            </w:tcBorders>
            <w:shd w:val="clear" w:color="auto" w:fill="auto"/>
            <w:vAlign w:val="bottom"/>
          </w:tcPr>
          <w:p w14:paraId="08DF5472" w14:textId="3D189399" w:rsidR="001D6DAC" w:rsidRPr="001D6DAC" w:rsidRDefault="001D6DAC" w:rsidP="001D6DAC">
            <w:pPr>
              <w:keepNext/>
              <w:rPr>
                <w:rFonts w:asciiTheme="minorHAnsi" w:hAnsiTheme="minorHAnsi" w:cstheme="minorHAnsi"/>
                <w:sz w:val="20"/>
                <w:szCs w:val="20"/>
              </w:rPr>
            </w:pPr>
          </w:p>
        </w:tc>
      </w:tr>
      <w:tr w:rsidR="001D6DAC" w:rsidRPr="00DE497D" w14:paraId="6CEEAAE3" w14:textId="77777777" w:rsidTr="001D6DAC">
        <w:trPr>
          <w:trHeight w:val="240"/>
        </w:trPr>
        <w:tc>
          <w:tcPr>
            <w:tcW w:w="466" w:type="pct"/>
            <w:tcBorders>
              <w:top w:val="nil"/>
              <w:left w:val="single" w:sz="8" w:space="0" w:color="auto"/>
              <w:bottom w:val="single" w:sz="4" w:space="0" w:color="auto"/>
              <w:right w:val="single" w:sz="4" w:space="0" w:color="auto"/>
            </w:tcBorders>
            <w:shd w:val="clear" w:color="auto" w:fill="auto"/>
            <w:noWrap/>
            <w:vAlign w:val="bottom"/>
          </w:tcPr>
          <w:p w14:paraId="4DE5929A" w14:textId="1F75CD32" w:rsidR="001D6DAC" w:rsidRPr="001D6DAC" w:rsidRDefault="001D6DAC" w:rsidP="001D6DAC">
            <w:pPr>
              <w:keepNext/>
              <w:rPr>
                <w:rFonts w:asciiTheme="minorHAnsi" w:hAnsiTheme="minorHAnsi" w:cstheme="minorHAnsi"/>
                <w:b/>
                <w:bCs/>
                <w:sz w:val="20"/>
                <w:szCs w:val="20"/>
              </w:rPr>
            </w:pPr>
          </w:p>
        </w:tc>
        <w:tc>
          <w:tcPr>
            <w:tcW w:w="288" w:type="pct"/>
            <w:tcBorders>
              <w:top w:val="nil"/>
              <w:left w:val="nil"/>
              <w:bottom w:val="single" w:sz="4" w:space="0" w:color="auto"/>
              <w:right w:val="single" w:sz="4" w:space="0" w:color="auto"/>
            </w:tcBorders>
            <w:shd w:val="clear" w:color="auto" w:fill="auto"/>
            <w:vAlign w:val="bottom"/>
          </w:tcPr>
          <w:p w14:paraId="7B35FBE7" w14:textId="30FE1B9B" w:rsidR="001D6DAC" w:rsidRPr="001D6DAC" w:rsidRDefault="001D6DAC" w:rsidP="001D6DAC">
            <w:pPr>
              <w:keepNext/>
              <w:rPr>
                <w:rFonts w:asciiTheme="minorHAnsi" w:hAnsiTheme="minorHAnsi" w:cstheme="minorHAnsi"/>
                <w:sz w:val="20"/>
                <w:szCs w:val="20"/>
              </w:rPr>
            </w:pPr>
          </w:p>
        </w:tc>
        <w:tc>
          <w:tcPr>
            <w:tcW w:w="332" w:type="pct"/>
            <w:tcBorders>
              <w:top w:val="nil"/>
              <w:left w:val="nil"/>
              <w:bottom w:val="single" w:sz="4" w:space="0" w:color="auto"/>
              <w:right w:val="single" w:sz="4" w:space="0" w:color="auto"/>
            </w:tcBorders>
            <w:shd w:val="clear" w:color="auto" w:fill="auto"/>
            <w:vAlign w:val="bottom"/>
          </w:tcPr>
          <w:p w14:paraId="610DC494" w14:textId="47A22E0F" w:rsidR="001D6DAC" w:rsidRPr="001D6DAC" w:rsidRDefault="001D6DAC" w:rsidP="001D6DAC">
            <w:pPr>
              <w:keepNext/>
              <w:jc w:val="right"/>
              <w:rPr>
                <w:rFonts w:asciiTheme="minorHAnsi" w:hAnsiTheme="minorHAnsi" w:cstheme="minorHAnsi"/>
                <w:sz w:val="20"/>
                <w:szCs w:val="20"/>
              </w:rPr>
            </w:pPr>
            <w:r w:rsidRPr="001D6DAC">
              <w:rPr>
                <w:rFonts w:asciiTheme="minorHAnsi" w:hAnsiTheme="minorHAnsi" w:cstheme="minorHAnsi"/>
                <w:sz w:val="20"/>
                <w:szCs w:val="20"/>
              </w:rPr>
              <w:t>110</w:t>
            </w:r>
          </w:p>
        </w:tc>
        <w:tc>
          <w:tcPr>
            <w:tcW w:w="1228" w:type="pct"/>
            <w:tcBorders>
              <w:top w:val="nil"/>
              <w:left w:val="nil"/>
              <w:bottom w:val="single" w:sz="4" w:space="0" w:color="auto"/>
              <w:right w:val="nil"/>
            </w:tcBorders>
            <w:shd w:val="clear" w:color="auto" w:fill="auto"/>
            <w:vAlign w:val="bottom"/>
          </w:tcPr>
          <w:p w14:paraId="683B3EC0" w14:textId="33CDD163" w:rsidR="001D6DAC" w:rsidRPr="001D6DAC" w:rsidRDefault="001D6DAC" w:rsidP="001D6DAC">
            <w:pPr>
              <w:keepNext/>
              <w:rPr>
                <w:rFonts w:asciiTheme="minorHAnsi" w:hAnsiTheme="minorHAnsi" w:cstheme="minorHAnsi"/>
                <w:sz w:val="20"/>
                <w:szCs w:val="20"/>
              </w:rPr>
            </w:pPr>
            <w:r w:rsidRPr="001D6DAC">
              <w:rPr>
                <w:rFonts w:asciiTheme="minorHAnsi" w:hAnsiTheme="minorHAnsi" w:cstheme="minorHAnsi"/>
                <w:sz w:val="20"/>
                <w:szCs w:val="20"/>
              </w:rPr>
              <w:t>Ortodontija</w:t>
            </w:r>
          </w:p>
        </w:tc>
        <w:tc>
          <w:tcPr>
            <w:tcW w:w="1456" w:type="pct"/>
            <w:tcBorders>
              <w:top w:val="nil"/>
              <w:left w:val="single" w:sz="4" w:space="0" w:color="auto"/>
              <w:bottom w:val="single" w:sz="4" w:space="0" w:color="auto"/>
              <w:right w:val="nil"/>
            </w:tcBorders>
            <w:shd w:val="clear" w:color="auto" w:fill="auto"/>
            <w:vAlign w:val="bottom"/>
          </w:tcPr>
          <w:p w14:paraId="43E3358D" w14:textId="14CE1DED" w:rsidR="001D6DAC" w:rsidRPr="001D6DAC" w:rsidRDefault="001D6DAC" w:rsidP="001D6DAC">
            <w:pPr>
              <w:keepNext/>
              <w:jc w:val="center"/>
              <w:rPr>
                <w:rFonts w:asciiTheme="minorHAnsi" w:hAnsiTheme="minorHAnsi" w:cstheme="minorHAnsi"/>
                <w:sz w:val="20"/>
                <w:szCs w:val="20"/>
              </w:rPr>
            </w:pPr>
            <w:proofErr w:type="gramStart"/>
            <w:r w:rsidRPr="001D6DAC">
              <w:rPr>
                <w:rFonts w:asciiTheme="minorHAnsi" w:hAnsiTheme="minorHAnsi" w:cstheme="minorHAnsi"/>
                <w:strike/>
                <w:sz w:val="20"/>
                <w:szCs w:val="20"/>
              </w:rPr>
              <w:t>O</w:t>
            </w:r>
            <w:r>
              <w:rPr>
                <w:rFonts w:asciiTheme="minorHAnsi" w:hAnsiTheme="minorHAnsi" w:cstheme="minorHAnsi"/>
                <w:sz w:val="20"/>
                <w:szCs w:val="20"/>
              </w:rPr>
              <w:t xml:space="preserve">  </w:t>
            </w:r>
            <w:proofErr w:type="gramEnd"/>
            <w:r w:rsidRPr="001D6DAC">
              <w:rPr>
                <w:rFonts w:asciiTheme="minorHAnsi" w:hAnsiTheme="minorHAnsi" w:cstheme="minorHAnsi"/>
                <w:b/>
                <w:bCs/>
                <w:sz w:val="20"/>
                <w:szCs w:val="20"/>
              </w:rPr>
              <w:t>D</w:t>
            </w:r>
          </w:p>
        </w:tc>
        <w:tc>
          <w:tcPr>
            <w:tcW w:w="1230" w:type="pct"/>
            <w:tcBorders>
              <w:top w:val="single" w:sz="4" w:space="0" w:color="auto"/>
              <w:left w:val="single" w:sz="4" w:space="0" w:color="auto"/>
              <w:bottom w:val="single" w:sz="4" w:space="0" w:color="auto"/>
              <w:right w:val="single" w:sz="4" w:space="0" w:color="auto"/>
            </w:tcBorders>
            <w:shd w:val="clear" w:color="auto" w:fill="auto"/>
            <w:vAlign w:val="bottom"/>
          </w:tcPr>
          <w:p w14:paraId="7E8A27FA" w14:textId="481FD84C" w:rsidR="001D6DAC" w:rsidRPr="001D6DAC" w:rsidRDefault="001D6DAC" w:rsidP="001D6DAC">
            <w:pPr>
              <w:keepNext/>
              <w:jc w:val="center"/>
              <w:rPr>
                <w:rFonts w:asciiTheme="minorHAnsi" w:hAnsiTheme="minorHAnsi" w:cstheme="minorHAnsi"/>
                <w:sz w:val="20"/>
                <w:szCs w:val="20"/>
              </w:rPr>
            </w:pPr>
            <w:proofErr w:type="gramStart"/>
            <w:r w:rsidRPr="001D6DAC">
              <w:rPr>
                <w:rFonts w:asciiTheme="minorHAnsi" w:hAnsiTheme="minorHAnsi" w:cstheme="minorHAnsi"/>
                <w:strike/>
                <w:sz w:val="20"/>
                <w:szCs w:val="20"/>
              </w:rPr>
              <w:t>O</w:t>
            </w:r>
            <w:r>
              <w:rPr>
                <w:rFonts w:asciiTheme="minorHAnsi" w:hAnsiTheme="minorHAnsi" w:cstheme="minorHAnsi"/>
                <w:sz w:val="20"/>
                <w:szCs w:val="20"/>
              </w:rPr>
              <w:t xml:space="preserve">  </w:t>
            </w:r>
            <w:proofErr w:type="gramEnd"/>
            <w:r w:rsidRPr="001D6DAC">
              <w:rPr>
                <w:rFonts w:asciiTheme="minorHAnsi" w:hAnsiTheme="minorHAnsi" w:cstheme="minorHAnsi"/>
                <w:b/>
                <w:bCs/>
                <w:sz w:val="20"/>
                <w:szCs w:val="20"/>
              </w:rPr>
              <w:t>D</w:t>
            </w:r>
          </w:p>
        </w:tc>
      </w:tr>
    </w:tbl>
    <w:p w14:paraId="25BA20F0" w14:textId="708E4EDB" w:rsidR="00267B44" w:rsidRDefault="00267B44" w:rsidP="00FC0D55">
      <w:pPr>
        <w:pStyle w:val="Odstavekseznama"/>
        <w:ind w:left="0"/>
        <w:contextualSpacing/>
        <w:jc w:val="both"/>
        <w:rPr>
          <w:rFonts w:ascii="Calibri" w:hAnsi="Calibri" w:cs="Calibri"/>
          <w:color w:val="000000"/>
          <w:sz w:val="22"/>
          <w:szCs w:val="22"/>
        </w:rPr>
      </w:pPr>
    </w:p>
    <w:p w14:paraId="0088CF73" w14:textId="77777777" w:rsidR="00FC0D55" w:rsidRDefault="00FC0D55" w:rsidP="00FC0D55">
      <w:pPr>
        <w:pStyle w:val="Odstavekseznama"/>
        <w:ind w:left="0"/>
        <w:contextualSpacing/>
        <w:jc w:val="both"/>
        <w:rPr>
          <w:rFonts w:ascii="Calibri" w:hAnsi="Calibri" w:cs="Calibri"/>
          <w:color w:val="000000"/>
          <w:sz w:val="22"/>
          <w:szCs w:val="22"/>
        </w:rPr>
      </w:pPr>
    </w:p>
    <w:p w14:paraId="5AA610D3" w14:textId="12C92A2A" w:rsidR="00FC0D55" w:rsidRPr="003E2CD6" w:rsidRDefault="00FC0D55" w:rsidP="00FC0D55">
      <w:pPr>
        <w:widowControl w:val="0"/>
        <w:suppressAutoHyphens/>
        <w:rPr>
          <w:color w:val="FF0000"/>
        </w:rPr>
      </w:pPr>
      <w:r>
        <w:rPr>
          <w:color w:val="000000"/>
        </w:rPr>
        <w:t xml:space="preserve">Spremembe veljajo za storitve, opravljene od </w:t>
      </w:r>
      <w:proofErr w:type="gramStart"/>
      <w:r>
        <w:rPr>
          <w:color w:val="000000"/>
        </w:rPr>
        <w:t>1. 1. 2022</w:t>
      </w:r>
      <w:proofErr w:type="gramEnd"/>
      <w:r>
        <w:rPr>
          <w:color w:val="000000"/>
        </w:rPr>
        <w:t xml:space="preserve"> do 31. 3. 2022.</w:t>
      </w:r>
    </w:p>
    <w:p w14:paraId="2FE051DC" w14:textId="77777777" w:rsidR="00FC0D55" w:rsidRDefault="00FC0D55" w:rsidP="00FC0D55">
      <w:pPr>
        <w:widowControl w:val="0"/>
        <w:suppressAutoHyphens/>
        <w:rPr>
          <w:color w:val="000000"/>
        </w:rPr>
      </w:pPr>
    </w:p>
    <w:p w14:paraId="4BB12B47" w14:textId="77777777" w:rsidR="00FC0D55" w:rsidRPr="00F127E5" w:rsidRDefault="00FC0D55" w:rsidP="00FC0D55">
      <w:pPr>
        <w:autoSpaceDE w:val="0"/>
        <w:autoSpaceDN w:val="0"/>
        <w:adjustRightInd w:val="0"/>
      </w:pPr>
      <w:r w:rsidRPr="00F127E5">
        <w:t xml:space="preserve">Kontaktna oseba za vsebinska vprašanja: </w:t>
      </w:r>
    </w:p>
    <w:p w14:paraId="66D63222" w14:textId="1A5008A3" w:rsidR="00FC0D55" w:rsidRDefault="00FC0D55" w:rsidP="00FC0D55">
      <w:pPr>
        <w:autoSpaceDE w:val="0"/>
        <w:autoSpaceDN w:val="0"/>
        <w:adjustRightInd w:val="0"/>
      </w:pPr>
      <w:r>
        <w:t>Franc Osredkar</w:t>
      </w:r>
      <w:r w:rsidRPr="001F05D2">
        <w:t xml:space="preserve"> (</w:t>
      </w:r>
      <w:hyperlink r:id="rId11" w:history="1">
        <w:r w:rsidRPr="00AA5622">
          <w:rPr>
            <w:rStyle w:val="Hiperpovezava"/>
          </w:rPr>
          <w:t>franc.osredkar@zzzs.si</w:t>
        </w:r>
      </w:hyperlink>
      <w:r w:rsidRPr="001F05D2">
        <w:t>; 01/30-77-</w:t>
      </w:r>
      <w:r>
        <w:t>383</w:t>
      </w:r>
      <w:r w:rsidRPr="001F05D2">
        <w:t>)</w:t>
      </w:r>
    </w:p>
    <w:p w14:paraId="5B86F938" w14:textId="77777777" w:rsidR="00FC0D55" w:rsidRDefault="00FC0D55" w:rsidP="00853ABB"/>
    <w:sectPr w:rsidR="00FC0D55" w:rsidSect="00405C52">
      <w:footerReference w:type="default" r:id="rId12"/>
      <w:headerReference w:type="first" r:id="rId13"/>
      <w:type w:val="continuous"/>
      <w:pgSz w:w="11906" w:h="16838"/>
      <w:pgMar w:top="993" w:right="1247" w:bottom="851" w:left="1247"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D2780" w14:textId="77777777" w:rsidR="00DF1B3D" w:rsidRDefault="00DF1B3D" w:rsidP="001F51E9">
      <w:pPr>
        <w:spacing w:line="240" w:lineRule="auto"/>
      </w:pPr>
      <w:r>
        <w:separator/>
      </w:r>
    </w:p>
  </w:endnote>
  <w:endnote w:type="continuationSeparator" w:id="0">
    <w:p w14:paraId="501F04FE" w14:textId="77777777" w:rsidR="00DF1B3D" w:rsidRDefault="00DF1B3D" w:rsidP="001F51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3A021" w14:textId="77777777" w:rsidR="00411535" w:rsidRDefault="00411535" w:rsidP="004F30B9">
    <w:pPr>
      <w:pStyle w:val="Noga"/>
      <w:jc w:val="center"/>
    </w:pPr>
    <w:r>
      <w:fldChar w:fldCharType="begin"/>
    </w:r>
    <w:r>
      <w:instrText>PAGE   \* MERGEFORMAT</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07E03" w14:textId="77777777" w:rsidR="00F94033" w:rsidRDefault="00F94033" w:rsidP="004F30B9">
    <w:pPr>
      <w:pStyle w:val="Noga"/>
      <w:jc w:val="center"/>
    </w:pPr>
    <w:r>
      <w:fldChar w:fldCharType="begin"/>
    </w:r>
    <w:r>
      <w:instrText>PAGE   \* MERGEFORMAT</w:instrText>
    </w:r>
    <w:r>
      <w:fldChar w:fldCharType="separate"/>
    </w:r>
    <w:r w:rsidR="00BA612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2BDE6" w14:textId="77777777" w:rsidR="00DF1B3D" w:rsidRDefault="00DF1B3D" w:rsidP="001F51E9">
      <w:pPr>
        <w:spacing w:line="240" w:lineRule="auto"/>
      </w:pPr>
      <w:r>
        <w:separator/>
      </w:r>
    </w:p>
  </w:footnote>
  <w:footnote w:type="continuationSeparator" w:id="0">
    <w:p w14:paraId="77CEB094" w14:textId="77777777" w:rsidR="00DF1B3D" w:rsidRDefault="00DF1B3D" w:rsidP="001F51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7" w:type="dxa"/>
      <w:tblInd w:w="-142" w:type="dxa"/>
      <w:tblLook w:val="04A0" w:firstRow="1" w:lastRow="0" w:firstColumn="1" w:lastColumn="0" w:noHBand="0" w:noVBand="1"/>
    </w:tblPr>
    <w:tblGrid>
      <w:gridCol w:w="2976"/>
      <w:gridCol w:w="4254"/>
      <w:gridCol w:w="2977"/>
    </w:tblGrid>
    <w:tr w:rsidR="00680BD0" w:rsidRPr="007B6600" w14:paraId="26D28BDC" w14:textId="77777777" w:rsidTr="00530157">
      <w:trPr>
        <w:trHeight w:hRule="exact" w:val="907"/>
      </w:trPr>
      <w:tc>
        <w:tcPr>
          <w:tcW w:w="2976" w:type="dxa"/>
          <w:shd w:val="clear" w:color="auto" w:fill="auto"/>
          <w:tcMar>
            <w:left w:w="0" w:type="dxa"/>
            <w:right w:w="0" w:type="dxa"/>
          </w:tcMar>
        </w:tcPr>
        <w:p w14:paraId="59D82FCB" w14:textId="77777777" w:rsidR="00680BD0" w:rsidRPr="007B6600" w:rsidRDefault="00680BD0" w:rsidP="00EA172B">
          <w:pPr>
            <w:pStyle w:val="Glava"/>
          </w:pPr>
          <w:r>
            <w:rPr>
              <w:noProof/>
              <w:lang w:eastAsia="sl-SI"/>
            </w:rPr>
            <w:drawing>
              <wp:inline distT="0" distB="0" distL="0" distR="0" wp14:anchorId="5CD6DC44" wp14:editId="39CD163D">
                <wp:extent cx="905773" cy="220047"/>
                <wp:effectExtent l="0" t="0" r="0" b="889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ZZZ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794" cy="221510"/>
                        </a:xfrm>
                        <a:prstGeom prst="rect">
                          <a:avLst/>
                        </a:prstGeom>
                      </pic:spPr>
                    </pic:pic>
                  </a:graphicData>
                </a:graphic>
              </wp:inline>
            </w:drawing>
          </w:r>
        </w:p>
        <w:p w14:paraId="55AE6C4A" w14:textId="77777777" w:rsidR="00680BD0" w:rsidRPr="007B6600" w:rsidRDefault="00680BD0" w:rsidP="00CE24E4">
          <w:pPr>
            <w:pStyle w:val="Glava"/>
            <w:spacing w:line="220" w:lineRule="exact"/>
            <w:jc w:val="left"/>
            <w:rPr>
              <w:b/>
            </w:rPr>
          </w:pPr>
          <w:r w:rsidRPr="007B6600">
            <w:rPr>
              <w:b/>
            </w:rPr>
            <w:t>Zavod za zdravstveno</w:t>
          </w:r>
          <w:r w:rsidRPr="007B6600">
            <w:rPr>
              <w:b/>
            </w:rPr>
            <w:br/>
            <w:t>zavarovanje Slovenije</w:t>
          </w:r>
        </w:p>
      </w:tc>
      <w:tc>
        <w:tcPr>
          <w:tcW w:w="4254" w:type="dxa"/>
          <w:vMerge w:val="restart"/>
          <w:shd w:val="clear" w:color="auto" w:fill="auto"/>
        </w:tcPr>
        <w:p w14:paraId="1F7D4227" w14:textId="77777777" w:rsidR="00680BD0" w:rsidRPr="007B6600" w:rsidRDefault="00680BD0" w:rsidP="007B6600">
          <w:pPr>
            <w:pStyle w:val="Glava"/>
            <w:jc w:val="center"/>
          </w:pPr>
          <w:r>
            <w:rPr>
              <w:noProof/>
            </w:rPr>
            <w:drawing>
              <wp:inline distT="0" distB="0" distL="0" distR="0" wp14:anchorId="0BDAED77" wp14:editId="68D4B6C2">
                <wp:extent cx="907750" cy="639551"/>
                <wp:effectExtent l="0" t="0" r="6985" b="8255"/>
                <wp:docPr id="14" name="Graf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96DAC541-7B7A-43D3-8B79-37D633B846F1}">
                              <asvg:svgBlip xmlns:asvg="http://schemas.microsoft.com/office/drawing/2016/SVG/main" r:embed="rId3"/>
                            </a:ext>
                          </a:extLst>
                        </a:blip>
                        <a:stretch>
                          <a:fillRect/>
                        </a:stretch>
                      </pic:blipFill>
                      <pic:spPr>
                        <a:xfrm>
                          <a:off x="0" y="0"/>
                          <a:ext cx="937308" cy="660376"/>
                        </a:xfrm>
                        <a:prstGeom prst="rect">
                          <a:avLst/>
                        </a:prstGeom>
                      </pic:spPr>
                    </pic:pic>
                  </a:graphicData>
                </a:graphic>
              </wp:inline>
            </w:drawing>
          </w:r>
        </w:p>
      </w:tc>
      <w:tc>
        <w:tcPr>
          <w:tcW w:w="2977" w:type="dxa"/>
          <w:shd w:val="clear" w:color="auto" w:fill="auto"/>
          <w:tcMar>
            <w:left w:w="0" w:type="dxa"/>
          </w:tcMar>
        </w:tcPr>
        <w:p w14:paraId="235FA1E5" w14:textId="77777777" w:rsidR="00680BD0" w:rsidRPr="007B6600" w:rsidRDefault="00680BD0" w:rsidP="00DF27E4">
          <w:pPr>
            <w:pStyle w:val="Glava"/>
            <w:jc w:val="right"/>
          </w:pPr>
        </w:p>
      </w:tc>
    </w:tr>
    <w:tr w:rsidR="00680BD0" w:rsidRPr="007B6600" w14:paraId="1CB1425C" w14:textId="77777777" w:rsidTr="00530157">
      <w:trPr>
        <w:trHeight w:hRule="exact" w:val="113"/>
      </w:trPr>
      <w:tc>
        <w:tcPr>
          <w:tcW w:w="2976" w:type="dxa"/>
          <w:shd w:val="clear" w:color="auto" w:fill="auto"/>
        </w:tcPr>
        <w:p w14:paraId="764C3D34" w14:textId="77777777" w:rsidR="00680BD0" w:rsidRPr="00CE24E4" w:rsidRDefault="00680BD0" w:rsidP="00EA172B">
          <w:pPr>
            <w:pStyle w:val="Glava"/>
            <w:rPr>
              <w:b/>
              <w:noProof/>
              <w:lang w:eastAsia="sl-SI"/>
            </w:rPr>
          </w:pPr>
        </w:p>
      </w:tc>
      <w:tc>
        <w:tcPr>
          <w:tcW w:w="4254" w:type="dxa"/>
          <w:vMerge/>
          <w:shd w:val="clear" w:color="auto" w:fill="auto"/>
        </w:tcPr>
        <w:p w14:paraId="65D4DC44" w14:textId="77777777" w:rsidR="00680BD0" w:rsidRPr="007B6600" w:rsidRDefault="00680BD0" w:rsidP="007B6600">
          <w:pPr>
            <w:pStyle w:val="Glava"/>
            <w:jc w:val="center"/>
            <w:rPr>
              <w:noProof/>
              <w:lang w:eastAsia="sl-SI"/>
            </w:rPr>
          </w:pPr>
        </w:p>
      </w:tc>
      <w:tc>
        <w:tcPr>
          <w:tcW w:w="2977" w:type="dxa"/>
          <w:shd w:val="clear" w:color="auto" w:fill="auto"/>
          <w:tcMar>
            <w:left w:w="0" w:type="dxa"/>
          </w:tcMar>
        </w:tcPr>
        <w:p w14:paraId="3212F798" w14:textId="77777777" w:rsidR="00680BD0" w:rsidRPr="007B6600" w:rsidRDefault="00680BD0" w:rsidP="00EA172B">
          <w:pPr>
            <w:pStyle w:val="Glava"/>
          </w:pPr>
        </w:p>
      </w:tc>
    </w:tr>
    <w:tr w:rsidR="00503685" w:rsidRPr="00BA612C" w14:paraId="3B47D73E" w14:textId="77777777" w:rsidTr="00530157">
      <w:tc>
        <w:tcPr>
          <w:tcW w:w="7230" w:type="dxa"/>
          <w:gridSpan w:val="2"/>
          <w:shd w:val="clear" w:color="auto" w:fill="auto"/>
          <w:tcMar>
            <w:left w:w="0" w:type="dxa"/>
            <w:right w:w="0" w:type="dxa"/>
          </w:tcMar>
        </w:tcPr>
        <w:p w14:paraId="574B897B" w14:textId="77777777" w:rsidR="00503685" w:rsidRDefault="00503685" w:rsidP="00503685">
          <w:pPr>
            <w:pStyle w:val="Ulica"/>
            <w:rPr>
              <w:b/>
            </w:rPr>
          </w:pPr>
          <w:r w:rsidRPr="00A25A3B">
            <w:rPr>
              <w:b/>
            </w:rPr>
            <w:t>Direkcija</w:t>
          </w:r>
        </w:p>
        <w:p w14:paraId="07E60728" w14:textId="77777777" w:rsidR="00503685" w:rsidRPr="00BA612C" w:rsidRDefault="00503685" w:rsidP="00503685">
          <w:pPr>
            <w:pStyle w:val="Ulica"/>
          </w:pPr>
          <w:r>
            <w:t>Miklošičeva cesta 24</w:t>
          </w:r>
        </w:p>
        <w:p w14:paraId="1EAD4A59" w14:textId="77777777" w:rsidR="00503685" w:rsidRPr="00BA612C" w:rsidRDefault="00503685" w:rsidP="00503685">
          <w:pPr>
            <w:pStyle w:val="Ulica"/>
            <w:rPr>
              <w:lang w:eastAsia="sl-SI"/>
            </w:rPr>
          </w:pPr>
          <w:r>
            <w:t>1507 Ljubljana</w:t>
          </w:r>
        </w:p>
      </w:tc>
      <w:tc>
        <w:tcPr>
          <w:tcW w:w="2977" w:type="dxa"/>
          <w:shd w:val="clear" w:color="auto" w:fill="auto"/>
          <w:tcMar>
            <w:left w:w="0" w:type="dxa"/>
          </w:tcMar>
        </w:tcPr>
        <w:p w14:paraId="7909F060" w14:textId="77777777" w:rsidR="00503685" w:rsidRDefault="00503685" w:rsidP="00503685">
          <w:pPr>
            <w:pStyle w:val="Glava"/>
            <w:spacing w:line="240" w:lineRule="exact"/>
            <w:jc w:val="left"/>
            <w:rPr>
              <w:noProof/>
            </w:rPr>
          </w:pPr>
          <w:r w:rsidRPr="00BA612C">
            <w:t xml:space="preserve">Tel.: </w:t>
          </w:r>
          <w:r>
            <w:rPr>
              <w:noProof/>
            </w:rPr>
            <w:t>01 30 77 296</w:t>
          </w:r>
        </w:p>
        <w:p w14:paraId="72EEC0CE" w14:textId="77777777" w:rsidR="00503685" w:rsidRPr="00BA612C" w:rsidRDefault="00503685" w:rsidP="00503685">
          <w:pPr>
            <w:pStyle w:val="Glava"/>
            <w:spacing w:line="240" w:lineRule="exact"/>
            <w:jc w:val="left"/>
          </w:pPr>
          <w:r w:rsidRPr="00BA612C">
            <w:t xml:space="preserve">E-pošta: </w:t>
          </w:r>
          <w:r>
            <w:rPr>
              <w:noProof/>
            </w:rPr>
            <w:t>di@zzzs.si</w:t>
          </w:r>
        </w:p>
        <w:p w14:paraId="4C678AE2" w14:textId="77777777" w:rsidR="00503685" w:rsidRPr="00BA612C" w:rsidRDefault="00503685" w:rsidP="00503685">
          <w:pPr>
            <w:pStyle w:val="Glava"/>
            <w:spacing w:line="240" w:lineRule="exact"/>
            <w:jc w:val="left"/>
          </w:pPr>
          <w:proofErr w:type="spellStart"/>
          <w:r w:rsidRPr="00BA612C">
            <w:t>www.zzzs.si</w:t>
          </w:r>
          <w:proofErr w:type="spellEnd"/>
        </w:p>
      </w:tc>
    </w:tr>
  </w:tbl>
  <w:p w14:paraId="4E1948E1" w14:textId="77777777" w:rsidR="00411535" w:rsidRPr="00BA612C" w:rsidRDefault="00411535" w:rsidP="00CE24E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A4C7D" w14:textId="77777777" w:rsidR="00F94033" w:rsidRPr="00411535" w:rsidRDefault="00F94033" w:rsidP="0041153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E4F6D"/>
    <w:multiLevelType w:val="hybridMultilevel"/>
    <w:tmpl w:val="33C0AC3C"/>
    <w:lvl w:ilvl="0" w:tplc="54129D7C">
      <w:start w:val="123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3F7EDF"/>
    <w:multiLevelType w:val="hybridMultilevel"/>
    <w:tmpl w:val="A8BE31EE"/>
    <w:lvl w:ilvl="0" w:tplc="EB76B148">
      <w:start w:val="5"/>
      <w:numFmt w:val="bullet"/>
      <w:pStyle w:val="Alineja"/>
      <w:lvlText w:val="–"/>
      <w:lvlJc w:val="left"/>
      <w:pPr>
        <w:ind w:left="36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5C7459A"/>
    <w:multiLevelType w:val="hybridMultilevel"/>
    <w:tmpl w:val="FFC25686"/>
    <w:lvl w:ilvl="0" w:tplc="BDF8477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0617C76"/>
    <w:multiLevelType w:val="hybridMultilevel"/>
    <w:tmpl w:val="10863F8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E542561"/>
    <w:multiLevelType w:val="hybridMultilevel"/>
    <w:tmpl w:val="77A6B494"/>
    <w:lvl w:ilvl="0" w:tplc="A120C68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A1E7D08"/>
    <w:multiLevelType w:val="hybridMultilevel"/>
    <w:tmpl w:val="611A938A"/>
    <w:lvl w:ilvl="0" w:tplc="ECAC11E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7AA387B"/>
    <w:multiLevelType w:val="hybridMultilevel"/>
    <w:tmpl w:val="E8744A8E"/>
    <w:lvl w:ilvl="0" w:tplc="1A46422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6D75EB3"/>
    <w:multiLevelType w:val="multilevel"/>
    <w:tmpl w:val="D70C7E1E"/>
    <w:lvl w:ilvl="0">
      <w:start w:val="1"/>
      <w:numFmt w:val="decimal"/>
      <w:pStyle w:val="Naslov1"/>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ordinal"/>
      <w:lvlText w:val="%1.%2"/>
      <w:lvlJc w:val="left"/>
      <w:pPr>
        <w:ind w:left="1098" w:hanging="360"/>
      </w:pPr>
      <w:rPr>
        <w:rFonts w:hint="default"/>
      </w:rPr>
    </w:lvl>
    <w:lvl w:ilvl="2">
      <w:start w:val="1"/>
      <w:numFmt w:val="lowerRoman"/>
      <w:lvlText w:val="%3."/>
      <w:lvlJc w:val="right"/>
      <w:pPr>
        <w:ind w:left="1818" w:hanging="180"/>
      </w:pPr>
      <w:rPr>
        <w:rFonts w:hint="default"/>
      </w:rPr>
    </w:lvl>
    <w:lvl w:ilvl="3">
      <w:start w:val="1"/>
      <w:numFmt w:val="decimal"/>
      <w:lvlText w:val="%4."/>
      <w:lvlJc w:val="left"/>
      <w:pPr>
        <w:ind w:left="2538" w:hanging="360"/>
      </w:pPr>
      <w:rPr>
        <w:rFonts w:hint="default"/>
      </w:rPr>
    </w:lvl>
    <w:lvl w:ilvl="4">
      <w:start w:val="1"/>
      <w:numFmt w:val="lowerLetter"/>
      <w:lvlText w:val="%5."/>
      <w:lvlJc w:val="left"/>
      <w:pPr>
        <w:ind w:left="3258" w:hanging="360"/>
      </w:pPr>
      <w:rPr>
        <w:rFonts w:hint="default"/>
      </w:rPr>
    </w:lvl>
    <w:lvl w:ilvl="5">
      <w:start w:val="1"/>
      <w:numFmt w:val="lowerRoman"/>
      <w:lvlText w:val="%6."/>
      <w:lvlJc w:val="right"/>
      <w:pPr>
        <w:ind w:left="3978" w:hanging="180"/>
      </w:pPr>
      <w:rPr>
        <w:rFonts w:hint="default"/>
      </w:rPr>
    </w:lvl>
    <w:lvl w:ilvl="6">
      <w:start w:val="1"/>
      <w:numFmt w:val="decimal"/>
      <w:lvlText w:val="%7."/>
      <w:lvlJc w:val="left"/>
      <w:pPr>
        <w:ind w:left="4698" w:hanging="360"/>
      </w:pPr>
      <w:rPr>
        <w:rFonts w:hint="default"/>
      </w:rPr>
    </w:lvl>
    <w:lvl w:ilvl="7">
      <w:start w:val="1"/>
      <w:numFmt w:val="lowerLetter"/>
      <w:lvlText w:val="%8."/>
      <w:lvlJc w:val="left"/>
      <w:pPr>
        <w:ind w:left="5418" w:hanging="360"/>
      </w:pPr>
      <w:rPr>
        <w:rFonts w:hint="default"/>
      </w:rPr>
    </w:lvl>
    <w:lvl w:ilvl="8">
      <w:start w:val="1"/>
      <w:numFmt w:val="lowerRoman"/>
      <w:lvlText w:val="%9."/>
      <w:lvlJc w:val="right"/>
      <w:pPr>
        <w:ind w:left="6138" w:hanging="180"/>
      </w:pPr>
      <w:rPr>
        <w:rFonts w:hint="default"/>
      </w:rPr>
    </w:lvl>
  </w:abstractNum>
  <w:abstractNum w:abstractNumId="8" w15:restartNumberingAfterBreak="0">
    <w:nsid w:val="7A9873BD"/>
    <w:multiLevelType w:val="hybridMultilevel"/>
    <w:tmpl w:val="24F6574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4"/>
  </w:num>
  <w:num w:numId="5">
    <w:abstractNumId w:val="6"/>
  </w:num>
  <w:num w:numId="6">
    <w:abstractNumId w:val="2"/>
  </w:num>
  <w:num w:numId="7">
    <w:abstractNumId w:val="5"/>
  </w:num>
  <w:num w:numId="8">
    <w:abstractNumId w:val="7"/>
  </w:num>
  <w:num w:numId="9">
    <w:abstractNumId w:val="3"/>
  </w:num>
  <w:num w:numId="10">
    <w:abstractNumId w:val="7"/>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attachedTemplate r:id="rId1"/>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69C"/>
    <w:rsid w:val="000137D8"/>
    <w:rsid w:val="00063C63"/>
    <w:rsid w:val="000804E4"/>
    <w:rsid w:val="000A441F"/>
    <w:rsid w:val="000D6266"/>
    <w:rsid w:val="00180E00"/>
    <w:rsid w:val="001A0EA3"/>
    <w:rsid w:val="001D6DAC"/>
    <w:rsid w:val="001F51E9"/>
    <w:rsid w:val="00214881"/>
    <w:rsid w:val="00227A5F"/>
    <w:rsid w:val="00231533"/>
    <w:rsid w:val="00267B44"/>
    <w:rsid w:val="002B1629"/>
    <w:rsid w:val="002B64D4"/>
    <w:rsid w:val="002E7517"/>
    <w:rsid w:val="002F28F6"/>
    <w:rsid w:val="003027F4"/>
    <w:rsid w:val="00334340"/>
    <w:rsid w:val="00354C15"/>
    <w:rsid w:val="003870D4"/>
    <w:rsid w:val="00390C85"/>
    <w:rsid w:val="003B069C"/>
    <w:rsid w:val="003E3CDC"/>
    <w:rsid w:val="00405C52"/>
    <w:rsid w:val="00411535"/>
    <w:rsid w:val="0045154F"/>
    <w:rsid w:val="0048212C"/>
    <w:rsid w:val="00483132"/>
    <w:rsid w:val="004D0094"/>
    <w:rsid w:val="004F30B9"/>
    <w:rsid w:val="004F7646"/>
    <w:rsid w:val="00503685"/>
    <w:rsid w:val="00512473"/>
    <w:rsid w:val="00530157"/>
    <w:rsid w:val="0057109B"/>
    <w:rsid w:val="0059766B"/>
    <w:rsid w:val="005C199C"/>
    <w:rsid w:val="0062099F"/>
    <w:rsid w:val="0062282A"/>
    <w:rsid w:val="00635D42"/>
    <w:rsid w:val="00651F71"/>
    <w:rsid w:val="00680BD0"/>
    <w:rsid w:val="006914D9"/>
    <w:rsid w:val="00692020"/>
    <w:rsid w:val="006B21B8"/>
    <w:rsid w:val="006B2382"/>
    <w:rsid w:val="006B28F6"/>
    <w:rsid w:val="00733719"/>
    <w:rsid w:val="0075210D"/>
    <w:rsid w:val="007568F4"/>
    <w:rsid w:val="0078584A"/>
    <w:rsid w:val="007A6AE9"/>
    <w:rsid w:val="007B6600"/>
    <w:rsid w:val="00853ABB"/>
    <w:rsid w:val="00856E9D"/>
    <w:rsid w:val="00881098"/>
    <w:rsid w:val="00915A1F"/>
    <w:rsid w:val="00935D33"/>
    <w:rsid w:val="00940980"/>
    <w:rsid w:val="00945904"/>
    <w:rsid w:val="009636B2"/>
    <w:rsid w:val="00970C05"/>
    <w:rsid w:val="009A4A38"/>
    <w:rsid w:val="009C248B"/>
    <w:rsid w:val="009F5A6E"/>
    <w:rsid w:val="009F66DE"/>
    <w:rsid w:val="009F7970"/>
    <w:rsid w:val="00A06088"/>
    <w:rsid w:val="00AD6921"/>
    <w:rsid w:val="00AD77F5"/>
    <w:rsid w:val="00AE265E"/>
    <w:rsid w:val="00BA612C"/>
    <w:rsid w:val="00BD4355"/>
    <w:rsid w:val="00BD4484"/>
    <w:rsid w:val="00BE2D00"/>
    <w:rsid w:val="00C46D94"/>
    <w:rsid w:val="00CA583C"/>
    <w:rsid w:val="00CE24E4"/>
    <w:rsid w:val="00D5725B"/>
    <w:rsid w:val="00D9617B"/>
    <w:rsid w:val="00DA2337"/>
    <w:rsid w:val="00DD168B"/>
    <w:rsid w:val="00DE4228"/>
    <w:rsid w:val="00DF1130"/>
    <w:rsid w:val="00DF1B3D"/>
    <w:rsid w:val="00DF27E4"/>
    <w:rsid w:val="00E84360"/>
    <w:rsid w:val="00EA172B"/>
    <w:rsid w:val="00EA6A40"/>
    <w:rsid w:val="00EB67D2"/>
    <w:rsid w:val="00EC1505"/>
    <w:rsid w:val="00EC24B5"/>
    <w:rsid w:val="00EC46ED"/>
    <w:rsid w:val="00ED2B37"/>
    <w:rsid w:val="00ED7555"/>
    <w:rsid w:val="00EE7738"/>
    <w:rsid w:val="00F00BBC"/>
    <w:rsid w:val="00F200CB"/>
    <w:rsid w:val="00F20F75"/>
    <w:rsid w:val="00F6421A"/>
    <w:rsid w:val="00F90CB8"/>
    <w:rsid w:val="00F94033"/>
    <w:rsid w:val="00FC0D55"/>
    <w:rsid w:val="00FC251A"/>
    <w:rsid w:val="00FF2E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7F6043"/>
  <w15:docId w15:val="{FBEB9EFC-E9DA-4726-90F3-894EC7119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D6DAC"/>
    <w:pPr>
      <w:tabs>
        <w:tab w:val="left" w:pos="5670"/>
      </w:tabs>
      <w:spacing w:line="240" w:lineRule="exact"/>
      <w:jc w:val="both"/>
    </w:pPr>
    <w:rPr>
      <w:sz w:val="22"/>
      <w:szCs w:val="22"/>
      <w:lang w:eastAsia="en-US"/>
    </w:rPr>
  </w:style>
  <w:style w:type="paragraph" w:styleId="Naslov1">
    <w:name w:val="heading 1"/>
    <w:basedOn w:val="Navaden"/>
    <w:next w:val="Navaden"/>
    <w:link w:val="Naslov1Znak"/>
    <w:qFormat/>
    <w:rsid w:val="00FC251A"/>
    <w:pPr>
      <w:numPr>
        <w:numId w:val="3"/>
      </w:numPr>
      <w:tabs>
        <w:tab w:val="clear" w:pos="5670"/>
      </w:tabs>
      <w:autoSpaceDE w:val="0"/>
      <w:autoSpaceDN w:val="0"/>
      <w:adjustRightInd w:val="0"/>
      <w:spacing w:line="240" w:lineRule="atLeast"/>
      <w:outlineLvl w:val="0"/>
    </w:pPr>
    <w:rPr>
      <w:rFonts w:eastAsia="Times New Roman" w:cs="Arial"/>
      <w:b/>
      <w:color w:val="0070C0"/>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F51E9"/>
    <w:pPr>
      <w:tabs>
        <w:tab w:val="center" w:pos="4536"/>
        <w:tab w:val="right" w:pos="9072"/>
      </w:tabs>
      <w:spacing w:line="240" w:lineRule="auto"/>
    </w:pPr>
  </w:style>
  <w:style w:type="character" w:customStyle="1" w:styleId="GlavaZnak">
    <w:name w:val="Glava Znak"/>
    <w:basedOn w:val="Privzetapisavaodstavka"/>
    <w:link w:val="Glava"/>
    <w:uiPriority w:val="99"/>
    <w:rsid w:val="001F51E9"/>
  </w:style>
  <w:style w:type="paragraph" w:styleId="Noga">
    <w:name w:val="footer"/>
    <w:basedOn w:val="Navaden"/>
    <w:link w:val="NogaZnak"/>
    <w:uiPriority w:val="99"/>
    <w:unhideWhenUsed/>
    <w:rsid w:val="001F51E9"/>
    <w:pPr>
      <w:tabs>
        <w:tab w:val="center" w:pos="4536"/>
        <w:tab w:val="right" w:pos="9072"/>
      </w:tabs>
      <w:spacing w:line="240" w:lineRule="auto"/>
    </w:pPr>
  </w:style>
  <w:style w:type="character" w:customStyle="1" w:styleId="NogaZnak">
    <w:name w:val="Noga Znak"/>
    <w:basedOn w:val="Privzetapisavaodstavka"/>
    <w:link w:val="Noga"/>
    <w:uiPriority w:val="99"/>
    <w:rsid w:val="001F51E9"/>
  </w:style>
  <w:style w:type="paragraph" w:styleId="Besedilooblaka">
    <w:name w:val="Balloon Text"/>
    <w:basedOn w:val="Navaden"/>
    <w:link w:val="BesedilooblakaZnak"/>
    <w:uiPriority w:val="99"/>
    <w:semiHidden/>
    <w:unhideWhenUsed/>
    <w:rsid w:val="001F51E9"/>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1F51E9"/>
    <w:rPr>
      <w:rFonts w:ascii="Tahoma" w:hAnsi="Tahoma" w:cs="Tahoma"/>
      <w:sz w:val="16"/>
      <w:szCs w:val="16"/>
    </w:rPr>
  </w:style>
  <w:style w:type="table" w:styleId="Tabelamrea">
    <w:name w:val="Table Grid"/>
    <w:basedOn w:val="Navadnatabela"/>
    <w:uiPriority w:val="59"/>
    <w:rsid w:val="001F5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unhideWhenUsed/>
    <w:rsid w:val="004F30B9"/>
    <w:rPr>
      <w:color w:val="0000FF"/>
      <w:u w:val="single"/>
    </w:rPr>
  </w:style>
  <w:style w:type="paragraph" w:customStyle="1" w:styleId="Naslovnik">
    <w:name w:val="Naslovnik"/>
    <w:basedOn w:val="Navaden"/>
    <w:qFormat/>
    <w:rsid w:val="00EB67D2"/>
    <w:rPr>
      <w:b/>
    </w:rPr>
  </w:style>
  <w:style w:type="paragraph" w:customStyle="1" w:styleId="Zadeva">
    <w:name w:val="Zadeva"/>
    <w:basedOn w:val="Naslovnik"/>
    <w:qFormat/>
    <w:rsid w:val="00EB67D2"/>
    <w:pPr>
      <w:spacing w:before="1440"/>
    </w:pPr>
  </w:style>
  <w:style w:type="paragraph" w:customStyle="1" w:styleId="Alineja">
    <w:name w:val="Alineja"/>
    <w:basedOn w:val="Navaden"/>
    <w:qFormat/>
    <w:rsid w:val="00AD6921"/>
    <w:pPr>
      <w:numPr>
        <w:numId w:val="1"/>
      </w:numPr>
      <w:tabs>
        <w:tab w:val="clear" w:pos="5670"/>
        <w:tab w:val="left" w:pos="284"/>
      </w:tabs>
      <w:ind w:left="284" w:hanging="284"/>
      <w:contextualSpacing/>
      <w:jc w:val="left"/>
    </w:pPr>
  </w:style>
  <w:style w:type="paragraph" w:customStyle="1" w:styleId="BasicParagraph">
    <w:name w:val="[Basic Paragraph]"/>
    <w:basedOn w:val="Navaden"/>
    <w:uiPriority w:val="99"/>
    <w:rsid w:val="00CE24E4"/>
    <w:pPr>
      <w:tabs>
        <w:tab w:val="clear" w:pos="5670"/>
      </w:tabs>
      <w:autoSpaceDE w:val="0"/>
      <w:autoSpaceDN w:val="0"/>
      <w:adjustRightInd w:val="0"/>
      <w:spacing w:line="288" w:lineRule="auto"/>
      <w:jc w:val="left"/>
      <w:textAlignment w:val="center"/>
    </w:pPr>
    <w:rPr>
      <w:rFonts w:ascii="Minion Pro" w:hAnsi="Minion Pro" w:cs="Minion Pro"/>
      <w:color w:val="000000"/>
      <w:sz w:val="24"/>
      <w:szCs w:val="24"/>
      <w:lang w:val="en-GB" w:eastAsia="sl-SI"/>
    </w:rPr>
  </w:style>
  <w:style w:type="paragraph" w:customStyle="1" w:styleId="OE">
    <w:name w:val="OE"/>
    <w:basedOn w:val="Glava"/>
    <w:qFormat/>
    <w:rsid w:val="00EB67D2"/>
    <w:pPr>
      <w:spacing w:line="240" w:lineRule="exact"/>
      <w:jc w:val="left"/>
    </w:pPr>
    <w:rPr>
      <w:b/>
      <w:noProof/>
    </w:rPr>
  </w:style>
  <w:style w:type="paragraph" w:customStyle="1" w:styleId="Ulica">
    <w:name w:val="Ulica"/>
    <w:basedOn w:val="Glava"/>
    <w:qFormat/>
    <w:rsid w:val="00EB67D2"/>
    <w:pPr>
      <w:spacing w:line="240" w:lineRule="exact"/>
      <w:jc w:val="left"/>
    </w:pPr>
    <w:rPr>
      <w:noProof/>
    </w:rPr>
  </w:style>
  <w:style w:type="paragraph" w:customStyle="1" w:styleId="Slog1">
    <w:name w:val="Slog1"/>
    <w:basedOn w:val="Glava"/>
    <w:qFormat/>
    <w:rsid w:val="00EB67D2"/>
    <w:pPr>
      <w:jc w:val="left"/>
    </w:pPr>
    <w:rPr>
      <w:noProof/>
    </w:rPr>
  </w:style>
  <w:style w:type="paragraph" w:customStyle="1" w:styleId="t-datum">
    <w:name w:val="št-datum"/>
    <w:basedOn w:val="Navaden"/>
    <w:qFormat/>
    <w:rsid w:val="00EB67D2"/>
    <w:pPr>
      <w:ind w:left="5670"/>
    </w:pPr>
    <w:rPr>
      <w:lang w:val="it-IT"/>
    </w:rPr>
  </w:style>
  <w:style w:type="paragraph" w:customStyle="1" w:styleId="Podpisi">
    <w:name w:val="Podpisi"/>
    <w:basedOn w:val="Navaden"/>
    <w:qFormat/>
    <w:rsid w:val="00EB67D2"/>
  </w:style>
  <w:style w:type="paragraph" w:customStyle="1" w:styleId="Orgenota">
    <w:name w:val="Org enota"/>
    <w:basedOn w:val="Glava"/>
    <w:qFormat/>
    <w:rsid w:val="00EB67D2"/>
    <w:pPr>
      <w:spacing w:line="240" w:lineRule="exact"/>
      <w:jc w:val="left"/>
    </w:pPr>
    <w:rPr>
      <w:i/>
      <w:noProof/>
    </w:rPr>
  </w:style>
  <w:style w:type="character" w:customStyle="1" w:styleId="Naslov1Znak">
    <w:name w:val="Naslov 1 Znak"/>
    <w:basedOn w:val="Privzetapisavaodstavka"/>
    <w:link w:val="Naslov1"/>
    <w:rsid w:val="00FC251A"/>
    <w:rPr>
      <w:rFonts w:eastAsia="Times New Roman" w:cs="Arial"/>
      <w:b/>
      <w:color w:val="0070C0"/>
      <w:sz w:val="28"/>
      <w:szCs w:val="28"/>
    </w:rPr>
  </w:style>
  <w:style w:type="paragraph" w:styleId="Kazalovsebine1">
    <w:name w:val="toc 1"/>
    <w:basedOn w:val="Navaden"/>
    <w:next w:val="Navaden"/>
    <w:uiPriority w:val="39"/>
    <w:qFormat/>
    <w:rsid w:val="00FC251A"/>
    <w:pPr>
      <w:tabs>
        <w:tab w:val="clear" w:pos="5670"/>
        <w:tab w:val="left" w:pos="482"/>
        <w:tab w:val="right" w:leader="dot" w:pos="9629"/>
      </w:tabs>
      <w:spacing w:line="240" w:lineRule="auto"/>
      <w:ind w:left="490" w:hanging="490"/>
      <w:jc w:val="left"/>
    </w:pPr>
    <w:rPr>
      <w:rFonts w:eastAsia="Times New Roman" w:cs="Arial"/>
      <w:szCs w:val="24"/>
      <w:lang w:eastAsia="sl-SI"/>
    </w:rPr>
  </w:style>
  <w:style w:type="paragraph" w:styleId="Odstavekseznama">
    <w:name w:val="List Paragraph"/>
    <w:basedOn w:val="Navaden"/>
    <w:link w:val="OdstavekseznamaZnak"/>
    <w:uiPriority w:val="34"/>
    <w:qFormat/>
    <w:rsid w:val="00FC251A"/>
    <w:pPr>
      <w:tabs>
        <w:tab w:val="clear" w:pos="5670"/>
      </w:tabs>
      <w:spacing w:line="240" w:lineRule="auto"/>
      <w:ind w:left="708"/>
      <w:jc w:val="left"/>
    </w:pPr>
    <w:rPr>
      <w:rFonts w:ascii="Arial" w:eastAsia="Times New Roman" w:hAnsi="Arial" w:cs="Arial"/>
      <w:sz w:val="24"/>
      <w:szCs w:val="24"/>
      <w:lang w:eastAsia="sl-SI"/>
    </w:rPr>
  </w:style>
  <w:style w:type="character" w:customStyle="1" w:styleId="OdstavekseznamaZnak">
    <w:name w:val="Odstavek seznama Znak"/>
    <w:link w:val="Odstavekseznama"/>
    <w:uiPriority w:val="34"/>
    <w:rsid w:val="00FC251A"/>
    <w:rPr>
      <w:rFonts w:ascii="Arial" w:eastAsia="Times New Roman" w:hAnsi="Arial" w:cs="Arial"/>
      <w:sz w:val="24"/>
      <w:szCs w:val="24"/>
    </w:rPr>
  </w:style>
  <w:style w:type="character" w:styleId="Nerazreenaomemba">
    <w:name w:val="Unresolved Mention"/>
    <w:basedOn w:val="Privzetapisavaodstavka"/>
    <w:uiPriority w:val="99"/>
    <w:semiHidden/>
    <w:unhideWhenUsed/>
    <w:rsid w:val="00D961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138467">
      <w:bodyDiv w:val="1"/>
      <w:marLeft w:val="0"/>
      <w:marRight w:val="0"/>
      <w:marTop w:val="0"/>
      <w:marBottom w:val="0"/>
      <w:divBdr>
        <w:top w:val="none" w:sz="0" w:space="0" w:color="auto"/>
        <w:left w:val="none" w:sz="0" w:space="0" w:color="auto"/>
        <w:bottom w:val="none" w:sz="0" w:space="0" w:color="auto"/>
        <w:right w:val="none" w:sz="0" w:space="0" w:color="auto"/>
      </w:divBdr>
    </w:div>
    <w:div w:id="123747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jda.povse@zzzs.s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nc.osredkar@zzzs.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zzs.si\DFS-ZZZS\Skupno\WordTemplate\predloga_DI0_SLO.dot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C1F0C-5F02-4CAD-90C7-F6C63A420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predloga_DI0_SLO.dotm</Template>
  <TotalTime>6</TotalTime>
  <Pages>4</Pages>
  <Words>1244</Words>
  <Characters>7094</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8322</CharactersWithSpaces>
  <SharedDoc>false</SharedDoc>
  <HLinks>
    <vt:vector size="6" baseType="variant">
      <vt:variant>
        <vt:i4>3932173</vt:i4>
      </vt:variant>
      <vt:variant>
        <vt:i4>3</vt:i4>
      </vt:variant>
      <vt:variant>
        <vt:i4>0</vt:i4>
      </vt:variant>
      <vt:variant>
        <vt:i4>5</vt:i4>
      </vt:variant>
      <vt:variant>
        <vt:lpwstr>mailto:di@zzzs.si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Tatjana Černič-Klobasa</dc:creator>
  <cp:lastModifiedBy>zzzs</cp:lastModifiedBy>
  <cp:revision>2</cp:revision>
  <cp:lastPrinted>2018-09-13T08:55:00Z</cp:lastPrinted>
  <dcterms:created xsi:type="dcterms:W3CDTF">2022-01-19T12:36:00Z</dcterms:created>
  <dcterms:modified xsi:type="dcterms:W3CDTF">2022-01-19T12:36:00Z</dcterms:modified>
</cp:coreProperties>
</file>