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5.0 -->
  <w:body>
    <w:p>
      <w:pPr>
        <w:pStyle w:val="textJustify"/>
        <w:pBdr>
          <w:top w:val="none" w:sz="0" w:space="24" w:color="auto"/>
        </w:pBdr>
        <w:spacing w:before="0" w:after="210"/>
        <w:ind w:left="0" w:right="0"/>
        <w:rPr>
          <w:rFonts w:ascii="Arial" w:eastAsia="Arial" w:hAnsi="Arial" w:cs="Arial"/>
          <w:color w:val="808080"/>
          <w:sz w:val="21"/>
          <w:szCs w:val="21"/>
        </w:rPr>
      </w:pPr>
      <w:bookmarkStart w:id="0" w:name="_GoBack"/>
      <w:bookmarkEnd w:id="0"/>
      <w:r>
        <w:rPr>
          <w:rFonts w:ascii="Arial" w:eastAsia="Arial" w:hAnsi="Arial" w:cs="Arial"/>
          <w:color w:val="808080"/>
          <w:sz w:val="21"/>
          <w:szCs w:val="21"/>
        </w:rPr>
        <w:t>Opozorilo: Neuradno prečiščeno besedilo predpisa predstavlja zgolj informativni delovni pripomoček, glede katerega organ ne jamči odškodninsko ali kako drugače.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Neuradno prečiščeno besedilo Pravilnika o kartici zdravstvenega zavarovanja, profesionalni kartici in pooblastilih za branje in zapisovanje podatkov v zalednem sistemu obsega: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kartici zdravstvenega zavarovanja, profesionalni kartici in pooblastilih za branje in zapisovanje podatkov v zalednem sistemu (Uradni list RS, št. 12/17 z dne 10. 3. 2017),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spremembah in dopolnitvah Pravilnika o kartici zdravstvenega zavarovanja, profesionalni kartici in pooblastilih za branje in zapisovanje podatkov v zalednem sistemu (Uradni list RS, št. 57/18 z dne 24. 8. 2018),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spremembah in dopolnitvah Pravilnika o kartici zdravstvenega zavarovanja, profesionalni kartici in pooblastilih za branje in zapisovanje podatkov v zalednem sistemu (Uradni list RS, št. 43/19 z dne 28. 6. 2019),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spremembi Pravilnika o kartici zdravstvenega zavarovanja, profesionalni kartici in pooblastilih za branje in zapisovanje podatkov v zalednem sistemu (Uradni list RS, št. 79/19 z dne 24. 12. 2019),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spremembi Pravilnika o kartici zdravstvenega zavarovanja, profesionalni kartici in pooblastilih za branje in zapisovanje podatkov v zalednem sistemu (Uradni list RS, št. 179/20 z dne 3. 12. 2020),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spremembah Pravilnika o kartici zdravstvenega zavarovanja, profesionalni kartici in pooblastilih za branje in zapisovanje podatkov v zalednem sistemu (Uradni list RS, št. 87/22 z dne 24. 6. 2022),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spremembah in dopolnitvah Pravilnika o kartici zdravstvenega zavarovanja, profesionalni kartici in pooblastilih za branje in zapisovanje podatkov v zalednem sistemu (Uradni list RS, št. 106/23 z dne 13. 10. 2023),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spremembah in dopolnitvah Pravilnika o kartici zdravstvenega zavarovanja, profesionalni kartici in pooblastilih za branje in zapisovanje podatkov v zalednem sistemu (Uradni list RS, št. 42/24 z dne 17. 5. 2024),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spremembah in dopolnitvah Pravilnika o kartici zdravstvenega zavarovanja, profesionalni kartici in pooblastilih za branje in zapisovanje podatkov v zalednem sistemu (Uradni list RS, št. 94/24 z dne 30. 10. 2024),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spremembah in dopolnitvah Pravilnika o kartici zdravstvenega zavarovanja, profesionalni kartici in pooblastilih za branje in zapisovanje podatkov v zalednem sistemu (Uradni list RS, št. 80/25 z dne 17. 10. 2025),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Pravilnik o spremembah in dopolnitvah Pravilnika o kartici zdravstvenega zavarovanja, profesionalni kartici in pooblastilih za branje in zapisovanje podatkov v zalednem sistemu (Uradni list RS, št. 1281/26 z dne 27. 7. 2026).</w:t>
      </w:r>
    </w:p>
    <w:p>
      <w:pPr>
        <w:pStyle w:val="center"/>
        <w:spacing w:before="210" w:after="210"/>
        <w:ind w:left="0" w:right="0"/>
        <w:rPr>
          <w:rFonts w:ascii="Arial" w:eastAsia="Arial" w:hAnsi="Arial" w:cs="Arial"/>
          <w:b/>
          <w:bCs/>
          <w:caps/>
          <w:sz w:val="21"/>
          <w:szCs w:val="21"/>
        </w:rPr>
      </w:pPr>
      <w:r>
        <w:rPr>
          <w:rFonts w:ascii="Arial" w:eastAsia="Arial" w:hAnsi="Arial" w:cs="Arial"/>
          <w:b/>
          <w:bCs/>
          <w:caps/>
          <w:sz w:val="21"/>
          <w:szCs w:val="21"/>
        </w:rPr>
        <w:t>PRAVILNIK</w:t>
      </w:r>
    </w:p>
    <w:p>
      <w:pPr>
        <w:pStyle w:val="center"/>
        <w:spacing w:before="210" w:after="210"/>
        <w:ind w:left="0" w:right="0"/>
        <w:rPr>
          <w:rFonts w:ascii="Arial" w:eastAsia="Arial" w:hAnsi="Arial" w:cs="Arial"/>
          <w:b/>
          <w:bCs/>
          <w:caps/>
          <w:sz w:val="21"/>
          <w:szCs w:val="21"/>
        </w:rPr>
      </w:pPr>
      <w:r>
        <w:rPr>
          <w:rFonts w:ascii="Arial" w:eastAsia="Arial" w:hAnsi="Arial" w:cs="Arial"/>
          <w:b/>
          <w:bCs/>
          <w:caps/>
          <w:sz w:val="21"/>
          <w:szCs w:val="21"/>
        </w:rPr>
        <w:t>o kartici zdravstvenega zavarovanja, profesionalni kartici in pooblastilih za branje in zapisovanje podatkov v zalednem sistemu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(neuradno prečiščeno besedilo št. 10)</w:t>
      </w:r>
    </w:p>
    <w:p>
      <w:pPr>
        <w:pStyle w:val="navezava-npb"/>
        <w:spacing w:before="220" w:after="220"/>
        <w:ind w:left="300" w:right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hd w:val="clear" w:color="auto" w:fill="auto"/>
        </w:rPr>
        <w:t>Datum začetka uporabe: </w:t>
      </w:r>
      <w:r>
        <w:rPr>
          <w:rFonts w:ascii="Arial" w:eastAsia="Arial" w:hAnsi="Arial" w:cs="Arial"/>
          <w:shd w:val="clear" w:color="auto" w:fill="auto"/>
        </w:rPr>
        <w:t>04.08.2026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caps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>I. SPLOŠNI DOLOČBI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Ta pravilnik določa: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obliko, vsebino, izdajo in veljavnost kartice zdravstvenega zavarovanja (v nadaljnjem besedilu: KZZ) in profesionalne kartice (v nadaljnjem besedilu: PK);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namen uporabe KZZ in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način dostopa do podatkov ter pooblastila za branje in zapisovanje podatkov v zalednih sistemih.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Izdajatelj KZZ in PK je Zavod za zdravstveno zavarovanje Slovenije (v nadaljnjem besedilu: Zavod).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Izrazi, uporabljeni v tem pravilniku, pomenijo: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delodajalec imetnika PK je Zavod, izvajalec zdravstvenih storitev ali upravljavec iz 5. člena tega pravilnika, ki je v skladu s tem pravilnikom pooblaščen podeliti svojemu delavcu in delavcu svojega pogodbenega partnerja pooblastila za dostop do podatkov v zalednem sistemu, do katerih je delavec upravičen zaradi narave svojega dela kot imetnik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imetnik KZZ je oseba, ki ji je bila v skladu z zakonom, ki ureja zdravstveno varstvo in zdravstveno zavarovanje, priznana lastnost zavarovane osebe, in oseba, ki je v skladu s pravnim redom Evropske unije (v nadaljnjem besedilu: EU) oziroma mednarodno pogodbo z njo izenačena glede uveljavljanja pravic iz navedenega zakona, ter ji je bila zato izdana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imetnik PK je zdravstveni delavec, zdravstveni sodelavec ali drug delavec delodajalca ali njegovega pogodbenega partnerja, ki ga je delodajalec pooblastil, da pri svojem delu uporablja PK za dostop do podatkov v zalednem sistemu, do katerih je upravičen zaradi narave svojega dela. Kot delavec v smislu tega pravilnika se šteje oseba, ki pri delodajalcu ali njegovem pogodbenem partnerju opravlja delo na podlagi pogodbe o zaposlitvi ali na kakršni koli drugi pravni podlagi;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izvajalec zdravstvenih storitev je skupni izraz za izvajalca in dobavitelja, kot sta izraza opredeljena v pravilih, ki urejajo obvezno zdravstveno zavarovanje;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KPEP na PK je kvalificirano potrdilo za elektronski podpis, zapisano na PK, ki se uporablja z osebnim geslom in imetniku PK omogoča kvalificiran elektronski podpis;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PEP na KZZ je (nekvalificirano) potrdilo za elektronski podpis, zapisano na KZZ, ki se uporablja brez osebnega gesla in sočasno z uporabo PK omogoča dostop do podatkov v zalednem sistemu;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PEP na PK je (nekvalificirano) potrdilo za elektronski podpis, zapisano na PK, ki se uporablja z osebnim geslom in imetniku PK omogoča elektronski podpis in dostop do podatkov v zalednem sistemu;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personalizacija KZZ in PK je zapis podatkov v mikroprocesor ter na zunanjost KZZ in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zaledni sistemi so zbirke podatkov Zavoda in drugih upravljavcev iz 5. člena tega pravilnika, do katerih je mogoč dostop s PK v skladu s podeljenimi pooblastili;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ZZZS številka je enolična identifikacijska številka zavarovane osebe in enolična identifikacijska številka tuje zavarovane osebe, določena v skladu s predpisi, ki urejajo obvezno zdravstveno zavarovanje.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caps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>II. NAMEN UPORABE KZZ IN PK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KZZ je javna listina, s katero se dokazuje lastnost zavarovane osebe pri uveljavljanju pravic iz obveznega zdravstvenega zavarovanja in s katero se dostopa do podatkov, ki so potrebni za uveljavljanje pravic iz zdravstvenega zavarovanja, če tako določa posebni zakon, pa tudi do drugih podatkov.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Izvajalci zdravstvenih storitev in pooblaščeni delavci Zavoda lahko zaradi preverjanja istovetnosti imetnika KZZ zahtevajo od zavarovane osebe tudi osebno izkaznico ali drug osebni dokument.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4.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S PK se zagotavlja dostop do osebnih in drugih podatkov v zalednih sistemih v skladu s podeljenimi pooblastili.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Dostop do osebnih podatkov v zalednih sistemih je dovoljen le ob sočasni uporabi KZZ in PK.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(3) Ne glede na prejšnji odstavek, je dostop do osebnih podatkov, brez sočasne uporabe KZZ in le z uporabo PK, izjemoma dovoljen v primerih in v obsegu, kot je določeno v Prilogi 1, ki je sestavni del tega pravilnika.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5.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PK se uporablja za dostop do podatkov o zdravstvenih delavcih v zbirki podatkov pod zaporedno številko NIJZ 16 »Evidenca gibanja zdravstvenih delavcev in mreža zdravstvenih zavodov«, katere upravljavec je Nacionalni inštitut za javno zdravje na podlagi zakona, ki ureja zbirke podatkov s področja zdravstvenega varstva.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PK se uporablja za dostop do podatkov v zbirki podatkov o opredeljenih darovalcih, katere upravljavec je Zavod Republike Slovenije za presaditve organov in tkiv Slovenija–Transplant na podlagi zakona, ki ureja pridobivanje in presaditev delov človeškega telesa zaradi zdravljenja.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(3) KZZ in PK se lahko v skladu z zakonom in drugimi predpisi uporabljata za dostop do podatkov v zalednih sistemih upravljavcev zbirk podatkov, ki niso navedeni v prvem in drugem odstavku tega člena.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(4) KZZ, PK in potrdila na njih se lahko uporabljajo za potrebe storitev v sistemu eZdravja brez plačila stroškov na podlagi sporazuma med Zavodom in upravljavcem eZdravja, v informacijskih sistemih izvajalcev zdravstvenih storitev pa s pisnim soglasjem Zavoda. Ne glede na prejšnji stavek se lahko uporablja KPEP na PK za elektronski podpis v eZdravju brez sporazuma, v informacijskih sistemih izvajalcev zdravstvenih storitev pa brez pisnega soglasja Zavoda.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caps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>III. OBLIKA IN VSEBINA KZZ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6.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KZZ je pametna kartica pravokotne oblike, dolžine 85,6 mm in širine 54 mm (format ID-1), z reliefno oznako »0« za slepe v spodnjem desnem kotu in ima mikroprocesor.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7.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Na sprednji strani KZZ so zapisani naslednji vidni podatki: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oznaka, da gre za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šifra izdajatelja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ZZZS številka;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izvoda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ime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rojstni datum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datum poteka veljavnosti KZZ.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Na hrbtni strani KZZ so zapisani napotki o načinu ravnanja v primeru izgube ali najdbe KZZ, opozorilo o prepovedi zlorabe KZZ in druga obvestila Zavoda.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(3) Na območju občin, kjer je poleg slovenskega jezika uradni jezik tudi italijanski oziroma madžarski jezik, so podatki iz prvega in drugega odstavka tega člena zapisani tudi v italijanskem oziroma madžarskem jeziku.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8.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V mikroprocesorju KZZ so zapisani naslednji podatki, ki so prosto dostopni z uporabo čitalnika pametnih kartic in ustrezne aplikacije: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ZZZS številka;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izvoda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ime imetnika KZZ.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V mikroprocesorju KZZ je zapisan PEP z naslednjimi podatki, ki so prosto dostopni z uporabo čitalnika pametnih kartic in spletnega brskalnika: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ZZZS številka;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izvoda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ime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rojstni datum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spol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identifikacijska številka nosilca (območne enote Zavoda);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izdajatelja KZZ.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caps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>IV. IZDAJA IN VELJAVNOST KZZ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9.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Za izdajo KZZ se uporabljajo podatki iz evidenc Zavoda.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10.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Zavod izda KZZ osebi, ko ji je prvič priznana lastnost zavarovane osebe oziroma osebi, ko je v skladu s pravnim redom EU oziroma mednarodno pogodbo z njo izenačena glede uveljavljanja pravic iz zakona, ki ureja zdravstveno varstvo in zdravstveno zavarovanje.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Če KZZ ni mogoče izdati takoj ali če je treba izdati novo KZZ zaradi razlogov iz prvega odstavka 11. člena tega pravilnika, Zavod izda začasno potrdilo za največ tri tedne, ki v času njegove veljavnosti nadomešča KZZ.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(3) Potrdilo iz prejšnjega odstavka vsebuje naslednje podatke: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naziv izdajatelja potrdila (območna enota oziroma izpostava Zavoda);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številko izdanega potrdila;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zapis, da potrdilo začasno nadomešča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datum, do katerega velja potrdilo;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datum izdaje potrdila;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ZZZS številka;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ime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rojstni datum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žig Zavoda in podpis odgovorne osebe Zavoda.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(4) Potrdilo iz drugega odstavka tega člena, ki ga imetnik KZZ prejme v elektronski obliki ob naročilu nove KZZ na podlagi spletnega naročila iz četrte alineje drugega odstavka 11. člena tega pravilnika, vsebuje naslednje podatke: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naziv izdajatelja potrdila;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številko izdanega potrdila;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zapis, da potrdilo začasno nadomešča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ime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datum, do katerega velja potrdilo;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datum izdaje potrdila;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elektronski faksimile žiga Zavoda in podpisa odgovorne osebe Zavoda.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(5) KZZ in potrdilo iz drugega odstavka tega člena nista prenosljiva.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11.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Zavod izda imetniku KZZ novo KZZ: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se spremeni ime ali priimek na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jo izgubi ali kako drugače ostane brez nje;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je KZZ uničena ali poškodovana tako, da njena uporaba ni več mogoča;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avtomatično pred potekom veljavnosti KZZ iz 16. člena tega pravilnika.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Razen v primeru iz četrte alineje prejšnjega odstavka Zavod izda imetniku KZZ novo KZZ na podlagi njegove pisne zahteve, ki jo posreduje Zavodu: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na katerikoli območni enoti ali izpostavi Zavoda;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na elektronski naslov Zavoda, pod pogojem, da je zahteva podpisana s KPEP in vsebuje vse podatke, potrebne za izdajo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pisno po pošti v primeru spremembe imena ali priimka, ko lahko Zavod uraden podatek o spremembi pridobi iz Centralnega registra prebivalstva ali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prek spletnega naročila na spletni strani Zavoda.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12.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Imetnik KZZ izgubo KZZ sporoči Zavodu takoj, ko je to mogoče.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13.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Stroške izdaje KZZ, ki jo mora Zavod izdati, ker je njen imetnik predhodno KZZ izgubil, uničil ali kako drugače poškodoval, krije njen imetnik. V ostalih primerih stroške izdaje KZZ krije Zavod.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Cena KZZ, ki ustreza dejanskim stroškom, povezanim z izdajo kartic imetnikom KZZ, se določi s cenikom listin Zavoda, ki se objavi na spletnih straneh Zavoda.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14.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KZZ, ki jo je treba nadomestiti z novo, in KZZ umrlih oseb, Zavod uvrsti na seznam neveljavnih KZZ.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Na seznamu neveljavnih KZZ se za posamezno KZZ vodijo podatki o ZZZS številki imetnika KZZ in o številki izvoda KZZ.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15.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Zavod o vsaki izdani KZZ vodi evidenco s podatki o: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številki izvoda KZZ za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personalizaciji in distribuciji KZZ njenemu imetniku (datum, naslov za pošiljanje);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statusih v življenjskem ciklu KZZ, datumih in vzrokih za nastanek statusov (KZZ naročena, v izdelavi, v depoju, preklicana, uničena in podobno);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PEP na KZZ in njegovi veljavnosti.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16.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Veljavnost KZZ je enaka veljavnosti na njej zapisanega PEP, ki je deset let od izdaje PEP na KZZ.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caps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>V. OBLIKA IN VSEBINA PK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17.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PK je pametna kartica pravokotne oblike, dolžine 85,6 mm in širine 54 mm (format ID-1), z reliefno oznako »0« za slepe v spodnjem desnem kotu in ima mikroprocesor.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18.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Na sprednji strani PK so zapisani naslednji vidni podatki: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oznaka, da gre za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šifra izdajatelja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ZZZS številka imetnika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izvoda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ime imetnika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datum poteka veljavnosti PK.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Na hrbtni strani PK so zapisani napotki o načinu ravnanja v primeru izgube ali najdbe PK, opozorilo o prepovedi zlorabe PK in druga obvestila Zavoda.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19.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V mikroprocesorju PK so zapisani naslednji podatki: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ZZZS številka imetnika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izvoda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ime imetnika PK.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V mikroprocesorju PK je poleg podatkov iz prejšnjega odstavka zapisano PEP, na PK zdravnikov, farmacevtov in zdravstvenih delavcev, ki izvajajo naloge v zvezi z darovanjem krvi, pa tudi KPEP.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(3) V potrdilih iz prejšnjega odstavka so zapisani naslednji podatki, ki so prosto dostopni z uporabo čitalnika pametnih kartic in spletnega brskalnika: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ZZZS številka imetnika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izvoda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ime imetnika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rojstni datum imetnika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spol imetnika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davčna številka imetnika PK (samo v KPEP);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zdravstvenega delavca, ki je imetnik PK, če podatek obstaja v evidenci iz prvega odstavka 5. člena tega pravilnika;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šifra izdajatelja PK.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20.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Imetnik PK prejme poleg PK tudi svojo rezervno PK, ki se uporablja, ko uporaba PK ni mogoča zaradi okvare, izgube ali zaklenitve PK.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Rezervna PK ima enaka pooblastila kot PK.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(3) Istočasna uporaba PK in rezervne PK ni mogoča. Rezervna PK se aktivira ob prvi uporabi, istočasno pa se avtomatično deaktivira PK.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(4) Določbe 17. do 19. in 21. do 27. člena tega pravilnika se uporabljajo tudi za rezervno PK, ki ima na sprednji strani zapisano tudi besedilo »REZERVNA KARTICA«.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caps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>VI. IZDAJA IN VELJAVNOST PK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21.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Za izdajo PK se uporabljajo podatki iz evidenc Zavoda.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Zavod izda imetniku PK prvo PK na podlagi skupne prijave imetnika PK in njegovega delodajalca, novo PK pa na podlagi same zahteve imetnika PK iz 23. člena tega pravilnika.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(3) Imetnik PK s KPEP (zdravnik, farmacevt ali zdravstveni delavec, ki izvaja naloge v zvezi z darovanjem krvi) za vsako izdajo PK odda tudi vlogo za pridobitev KPEP v skladu s splošnim aktom Zavoda iz 31. člena tega pravilnika.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22.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Imetnik PK je odgovoren za svojo PK. Ta odgovornost vključuje: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navedbo pravilnih osebnih podatkov pri vložitvi prijave za PK na obrazcu, ki je opredeljen v splošnem aktu Zavoda iz 31. člena tega pravilnika;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sporočanje sprememb podatkov o imetniku PK na Zavod v osmih dneh od nastanka spremembe na obrazcu, ki je opredeljen v splošnem aktu Zavoda iz 31. člena tega pravilnika;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sporočanje okvare, poškodbe ali izgube PK Zavodu takoj, ko je to mogoče, telefonsko v Službo za poslovanje s karticami ali na obrazcu, ki je opredeljen v splošnem aktu Zavoda iz 31. člena tega pravilnika;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preklic PK in KPEP v primeru zlorabe takoj, ko je to mogoče, telefonsko v Službo za poslovanje s karticami ali na obrazcu, ki je opredeljen v splošnem aktu Zavoda iz 31. člena tega pravilnika;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vračilo PK Zavodu ali uničenje PK takoj, ko je to mogoče v primeru spremembe vidnih podatkov iz prvega odstavka 18. člena tega pravilnika, zaklenjene, okvarjene ali poškodovane PK. PK se vrne Službi za poslovanje s karticami;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skrb za gesla za uporabo PK ves čas njene veljavnosti.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PK lahko uporablja le imetnik PK, na čigar ime se glasi. Uporaba PK je mogoča z osebnim geslom – PIN, ki je znan le imetniku PK.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23.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Zavod izda imetniku PK na njegovo zahtevo novo PK: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se spremeni ime ali priimek na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jo izgubi ali kako drugače ostane brez nje;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je PK okvarjena ali poškodovana tako, da njena uporaba ni več mogoča;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imetnik PK izgubi geslo za uporabo PK ali zaklene PK.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Zavod avtomatično izda imetniku PK novo PK pred potekom njene veljavnosti iz 27. člena tega pravilnika, imetnika PK s KPEP (zdravnika, farmacevta ali zdravstvenega delavca, ki izvaja naloge v zvezi z darovanjem krvi) pa 72 dni pred potekom veljavnosti PK pisno pozove k oddaji vloge za pridobitev KPEP.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24.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Stroške izdaje PK krije Zavod.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Ne glede na prejšnji odstavek lahko Zavod zaračuna izdajo testnih PK, ki jih uporabljajo razvijalci programske opreme in imetniki PK za razvoj in vzdrževanje programskih rešitev za dostop do testnih podatkov v zalednem sistemu. Cena PK, ki ustreza dejanskim stroškom, povezanim z izdajo PK, se določi s cenikom listin Zavoda, ki se objavi na spletni strani Zavoda.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25.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PK, ki jo je treba nadomestiti z novo, in PK umrlih oseb Zavod uvrsti na seznam neveljavnih PK.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Na seznamu neveljavnih PK se za posamezno PK vodijo podatki o ZZZS številki imetnika PK in o številki izvoda PK.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26.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Zavod o vsaki izdani PK vodi evidenco s podatki o: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dokumentih za pridobitev PK v skladu s splošnim aktom Zavoda iz 31. člena tega pravilnika;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številki izvoda PK za imetnika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personalizaciji in distribuciji PK njenemu imetniku (datum, naslov za pošiljanje);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statusih v življenjskem ciklusu PK, datumih in vzrokih za nastanek statusov (PK naročena, v izdelavi, v depoju, preklicana, uničena in podobno);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PEP in KPEP na PK in njihovi veljavnosti;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podeljenih in odvzetih pooblastilih.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27.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PK, na kateri je zapisan KPEP, je veljavna pet let od izdaje KPEP, sicer pa deset let od izdaje PEP na PK.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caps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>VII. POOBLASTILA ZA BRANJE IN ZAPISOVANJE PODATKOV V ZALEDNIH SISTEMIH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28.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Imetnik PK ima glede na naravo svojega dela v sistemu zdravstvenega varstva in zdravstvenega zavarovanja opredeljena pooblastila v Prilogi 2 tega pravilnika.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Delodajalec imetnika PK je odgovoren za postopke v zvezi z dodeljevanjem in odvzemom pooblastil imetniku PK, in sicer: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odgovarja za pravilnost podatkov o pooblastilih pri dodeljevanju in odvzemanju pooblastil;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Zavodu sporoča vsako spremembo pooblastil (pri prenehanju zaposlitve in podobno) v osmih dneh od njenega nastanka na obrazcu, ki je opredeljen v splošnem aktu Zavoda iz 31. člena tega pravilnika;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imetnika PK seznani s pogoji uporabe PK, ki so opredeljeni v splošnem aktu Zavoda iz 31. člena tega pravilnika.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29.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Zavod po uradni dolžnosti odvzame pooblastila imetniku PK v naslednjih primerih: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ugotovi, da je bila zdravstvenemu delavcu odvzeta licenca;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izvajalcu zdravstvenih storitev ali upravljavcu iz 5. člena tega pravilnika preneha pogodba z Zavodom;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če je imetniku PK podeljeno pooblastilo v nasprotju s prvim odstavkom prejšnjega člena;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na podlagi sodne ali upravne odločbe;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v primeru zaznane zlorabe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v drugih primerih, ko Zavod ugotovi, da imetnik PK ni upravičen dostopati do podatkov v zalednem sistemu.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Zavod odvzame pooblastila imetniku PK tudi na njegovo pisno zahtevo.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30.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Imetniki PK v zalednem sistemu v skladu s podeljenimi pooblastili uporabljajo naslednje funkcije oziroma berejo in zapisujejo naslednje sklope podatkov: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 branje osnovnih osebnih podatkov zavarovane osebe;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 branje podatkov o obveznem zdravstvenem zavarovanju zavarovane osebe;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3. </w:t>
      </w:r>
      <w:r>
        <w:rPr>
          <w:rFonts w:ascii="Arial" w:eastAsia="Arial" w:hAnsi="Arial" w:cs="Arial"/>
          <w:b/>
          <w:bCs/>
          <w:sz w:val="21"/>
          <w:szCs w:val="21"/>
        </w:rPr>
        <w:t>(črtana)</w:t>
      </w:r>
      <w:r>
        <w:rPr>
          <w:rFonts w:ascii="Arial" w:eastAsia="Arial" w:hAnsi="Arial" w:cs="Arial"/>
          <w:sz w:val="21"/>
          <w:szCs w:val="21"/>
        </w:rPr>
        <w:t>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4. </w:t>
      </w:r>
      <w:r>
        <w:rPr>
          <w:rFonts w:ascii="Arial" w:eastAsia="Arial" w:hAnsi="Arial" w:cs="Arial"/>
          <w:b/>
          <w:bCs/>
          <w:sz w:val="21"/>
          <w:szCs w:val="21"/>
        </w:rPr>
        <w:t>(črtana)</w:t>
      </w:r>
      <w:r>
        <w:rPr>
          <w:rFonts w:ascii="Arial" w:eastAsia="Arial" w:hAnsi="Arial" w:cs="Arial"/>
          <w:sz w:val="21"/>
          <w:szCs w:val="21"/>
        </w:rPr>
        <w:t>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5. zapis podatkov o izbiri osebnega zdravnika;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6. branje podatkov o izbranih osebnih zdravnikih;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7. zapis podatkov o nosečnosti;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8. branje podatkov o nosečnosti;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9. zapis podatkov o predpisanih medicinskih pripomočkih;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10. zapis podatkov o izdanih medicinskih pripomočkih;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11. branje podatkov o izdanih medicinskih pripomočkih;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12. branje podatkov o predpisanih medicinskih pripomočkih;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13. zapis podatkov o opravljenem postopku oploditve z biomedicinsko pomočjo;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14. branje podatkov o postopkih oploditve z biomedicinsko pomočjo;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15. zapis podatkov o izdaji zdravila;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16. branje podatkov o izdanih zdravilih;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17. branje podatkov o izjavi za darovanje organov;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18. </w:t>
      </w:r>
      <w:r>
        <w:rPr>
          <w:rFonts w:ascii="Arial" w:eastAsia="Arial" w:hAnsi="Arial" w:cs="Arial"/>
          <w:b/>
          <w:bCs/>
          <w:sz w:val="21"/>
          <w:szCs w:val="21"/>
        </w:rPr>
        <w:t>(črtana)</w:t>
      </w:r>
      <w:r>
        <w:rPr>
          <w:rFonts w:ascii="Arial" w:eastAsia="Arial" w:hAnsi="Arial" w:cs="Arial"/>
          <w:sz w:val="21"/>
          <w:szCs w:val="21"/>
        </w:rPr>
        <w:t>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19. </w:t>
      </w:r>
      <w:r>
        <w:rPr>
          <w:rFonts w:ascii="Arial" w:eastAsia="Arial" w:hAnsi="Arial" w:cs="Arial"/>
          <w:b/>
          <w:bCs/>
          <w:sz w:val="21"/>
          <w:szCs w:val="21"/>
        </w:rPr>
        <w:t>(črtana)</w:t>
      </w:r>
      <w:r>
        <w:rPr>
          <w:rFonts w:ascii="Arial" w:eastAsia="Arial" w:hAnsi="Arial" w:cs="Arial"/>
          <w:sz w:val="21"/>
          <w:szCs w:val="21"/>
        </w:rPr>
        <w:t>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20. preverjanje delovanja sistema;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21. branje podatkov o mobilnih preverjanjih zavarovanj;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22. zapis podatkov o tuji zavarovani osebi;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23. branje podatkov o tuji zavarovani osebi;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24. branje seznama zavarovanih oseb, ki imajo izposojen medicinski pripomoček;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25. zapis seznama zavarovanih oseb, ki imajo izposojen medicinski pripomoček;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25.a zapis podatkov elektronskega potrdila o upravičeni zadržanosti od dela;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25.b branje podatkov elektronskega potrdila o upravičeni zadržanosti od dela;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26. zapis pošiljke podatkov;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27. branje odgovora o poslani pošiljki podatkov;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28. branje seznama pošiljk podatkov;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29. branje podatkov o zdravstvenih delavcih;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30. urejanje pooblastil imetnikov PK in KPEP, naročanje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31. branje podatkov iz Centralne baze zdravil;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32. zapis podatkov zdravstvenega dela elektronske prijave nezgode in poškodbe pri delu;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33. branje podatkov splošnega in zdravstvenega dela elektronske prijave nezgode in poškodbe pri delu;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34. zapis podatkov elektronskega potrdila o darovanju krvi;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35. branje podatkov elektronskega potrdila o darovanju krvi;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36. zapis podatkov elektronskega predloga imenovanemu zdravniku;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37. branje podatkov elektronskega predloga imenovanemu zdravniku;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38. zapis podatkov elektronskega potrdila izvajalca o zadržanosti od dela;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39. branje podatkov elektronskega potrdila izvajalca o zadržanosti od dela;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40. zapis navodil o ravnanju med začasno zadržanostjo od dela;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41. branje navodil o ravnanju med začasno zadržanostjo od dela.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Natančnejša opredelitev podatkov iz 1. do 25. točke in iz 29. točke prejšnjega odstavka je določena v navodilih za uporabo sistema on-line zdravstvenega zavarovanja, ki so objavljena na spletni strani Zavoda.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(3) Natančnejša opredelitev podatkov iz 26. do 28. točke in iz 31. točke prvega odstavka tega člena je določena v navodilih o beleženju in obračunavanju zdravstvenih storitev in izdanih materialov, ki so objavljena na spletni strani Zavoda.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(4) Natančnejša opredelitev podatkov iz 30. točke prvega odstavka tega člena je določena v splošnem aktu Zavoda iz 31. člena tega pravilnika.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(5) Natančnejša opredelitev podatkov iz prvega odstavka tega člena je določena v navodilih, ki so objavljena na spletni strani Zavoda, in sicer: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– iz 25.a in 25.b točke je določena v navodilih, ki urejajo zapis in branje podatkov elektronskega potrdila o upravičeni zadržanosti od dela;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– iz 32. in 33. točke je določena v navodilih, ki urejajo zapis in branje podatkov elektronske prijave nezgode in poškodbe pri delu;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– iz 34. in 35. točke je določena v navodilih, ki urejajo zapis in branje podatkov elektronskega potrdila o darovanju krvi;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– iz 36. in 37. točke je določena v navodilih, ki urejajo zapis in branje elektronskega predloga imenovanemu zdravniku;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– iz 38. in 39. točke je določena v navodilih, ki urejajo zapis in branje elektronskega potrdila izvajalca o zadržanosti od dela;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– iz 40. in 41. točke je določena v navodilih, ki urejajo zapis in branje navodil o ravnanju med začasno zadržanostjo od dela.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(6) Imetniki PK z dodeljenim pooblastilom »1 – Splošni, družinski, šolski, IOZ v DSO, pediater« lahko uporabljajo PEP ali KPEP na svoji PK za branje neosebnih podatkov o kakovosti predpisovanja zdravil (število izdanih receptov, celotna vrednost izdanih receptov in podobno).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31.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Generalni direktor Zavoda s splošnim aktom, ki se objavi na spletni strani Zavoda, natančneje določi: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postopek izdaje, vračila in uničenja PK in rezervne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podelitev pooblastil imetnikom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pogoje uporabe PK in rezervne PK;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pravice in odgovornosti imetnikov PK, rezervnih PK in njihovih delodajalcev;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dokumente za pridobitev PK.</w:t>
      </w:r>
    </w:p>
    <w:p>
      <w:pPr>
        <w:pStyle w:val="center"/>
        <w:pBdr>
          <w:top w:val="none" w:sz="0" w:space="24" w:color="auto"/>
        </w:pBdr>
        <w:spacing w:before="210" w:after="210"/>
        <w:ind w:left="0" w:right="0"/>
        <w:rPr>
          <w:rFonts w:ascii="Arial" w:eastAsia="Arial" w:hAnsi="Arial" w:cs="Arial"/>
          <w:caps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>VIII. PREHODNE IN KONČNE DOLOČBE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32.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Ne glede na drugi odstavek 8. člena tega pravilnika je na KZZ zapisano tudi osebno PEP, ki se uporablja z osebnim geslom, ki ga je bilo mogoče pridobiti med 24. oktobrom 2008 in 1. decembrom 2015, in omogoča imetniku KZZ dostop do njegovih osebnih podatkov v zalednem sistemu. Osebno PEP vsebuje naslednje podatke, ki so prosto dostopni z uporabo čitalnika pametnih kartic in spletnega brskalnika: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ZZZS številka;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izvoda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osebno ime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rojstni datum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spol imetnika KZZ;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identifikacijska številka nosilca (območne enote Zavoda);</w:t>
      </w:r>
    </w:p>
    <w:p>
      <w:pPr>
        <w:pStyle w:val="zamik"/>
        <w:spacing w:before="210" w:after="210"/>
        <w:ind w:left="425" w:right="0" w:hanging="4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 številka izdajatelja KZZ.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Z osebnim geslom iz prejšnjega odstavka se lahko na KZZ namestijo dodatna lastna PEP ali KPEP imetnika KZZ.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33.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Ne glede na 16. člen tega pravilnika so KZZ, izdane pred 24. oktobrom 2008, veljavne časovno neomejeno.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34.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Ne glede na 20. člen tega pravilnika na rezervnih PK, ki so izdane pred 1. januarjem 2017, ni zapisanega KPEP.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35.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Ne glede na 27. člen tega pravilnika je PK, izdana do 10. julija 2013, veljavna pet let od izdaje PEP na PK.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36.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Pristojna oseba Zavoda izda navodila iz drugega in tretjega odstavka 30. člena tega pravilnika v štirih mesecih od uveljavitve tega pravilnika.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37.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Generalni direktor Zavoda izda splošni akt iz 31. člena tega pravilnika v šestih mesecih od uveljavitve tega pravilnika.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38.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 dnem uveljavitve tega pravilnika prenehajo veljati Pravilnik o kartici zdravstvenega zavarovanja (Uradni list RS, št. 89/08, 12/09, 91/09, 39/12 in 27/14) in dane izjave zavarovanih oseb o prepovedi dostopa do podatkov o izdanih zdravilih.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39.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 Določbi sedme alineje prvega odstavka 7. člena in šeste alineje prvega odstavka 18. člena tega pravilnika se začneta uporabljati 1. januarja 2018.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(2) Določba 30. točke prvega odstavka 30. člena tega pravilnika se začne uporabljati z dnem vzpostavitve tehničnih možnosti za njeno izvedbo, ki ga Zavod objavi na svoji spletni strani.</w:t>
      </w:r>
    </w:p>
    <w:p>
      <w:pPr>
        <w:pStyle w:val="center"/>
        <w:pBdr>
          <w:top w:val="none" w:sz="0" w:space="10" w:color="auto"/>
        </w:pBdr>
        <w:spacing w:before="210" w:after="210"/>
        <w:ind w:left="0" w:right="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40. člen</w:t>
      </w:r>
    </w:p>
    <w:p>
      <w:pPr>
        <w:pStyle w:val="zamik"/>
        <w:pBdr>
          <w:top w:val="none" w:sz="0" w:space="0" w:color="auto"/>
        </w:pBdr>
        <w:spacing w:before="210" w:after="210"/>
        <w:ind w:left="0" w:right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Ta pravilnik začne veljati petnajsti dan po objavi v Uradnem listu Republike Slovenije.</w:t>
      </w:r>
    </w:p>
    <w:p>
      <w:pPr>
        <w:pStyle w:val="priloga"/>
        <w:spacing w:before="210" w:after="210"/>
        <w:ind w:left="0" w:right="0"/>
        <w:rPr>
          <w:rFonts w:ascii="Arial" w:eastAsia="Arial" w:hAnsi="Arial" w:cs="Arial"/>
          <w:sz w:val="21"/>
          <w:szCs w:val="21"/>
        </w:rPr>
      </w:pPr>
      <w:hyperlink r:id="rId4" w:history="1">
        <w:r>
          <w:rPr>
            <w:rFonts w:ascii="Arial" w:eastAsia="Arial" w:hAnsi="Arial" w:cs="Arial"/>
            <w:color w:val="0000EE"/>
            <w:sz w:val="21"/>
            <w:szCs w:val="21"/>
            <w:u w:val="single" w:color="0000EE"/>
          </w:rPr>
          <w:t>Priloga 1: Izjemni primeri dostopa brez KZZ</w:t>
        </w:r>
      </w:hyperlink>
    </w:p>
    <w:p>
      <w:pPr>
        <w:pStyle w:val="priloga"/>
        <w:spacing w:before="210" w:after="210"/>
        <w:ind w:left="0" w:right="0"/>
        <w:rPr>
          <w:rFonts w:ascii="Arial" w:eastAsia="Arial" w:hAnsi="Arial" w:cs="Arial"/>
          <w:sz w:val="21"/>
          <w:szCs w:val="21"/>
        </w:rPr>
      </w:pPr>
      <w:hyperlink r:id="rId5" w:tgtFrame="_blank" w:history="1">
        <w:r>
          <w:rPr>
            <w:rFonts w:ascii="Arial" w:eastAsia="Arial" w:hAnsi="Arial" w:cs="Arial"/>
            <w:color w:val="0000EE"/>
            <w:sz w:val="21"/>
            <w:szCs w:val="21"/>
            <w:u w:val="single" w:color="0000EE"/>
          </w:rPr>
          <w:t>Priloga 2: Seznam pooblastil za branje in zapisovanje podatkov v zalednih sistemih</w:t>
        </w:r>
      </w:hyperlink>
    </w:p>
    <w:p w:rsidR="00A77B3E"/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mainText">
    <w:name w:val="mainText"/>
    <w:basedOn w:val="Normal"/>
  </w:style>
  <w:style w:type="paragraph" w:customStyle="1" w:styleId="textJustify">
    <w:name w:val="textJustify"/>
    <w:basedOn w:val="Normal"/>
    <w:pPr>
      <w:jc w:val="both"/>
    </w:pPr>
  </w:style>
  <w:style w:type="paragraph" w:customStyle="1" w:styleId="zamik">
    <w:name w:val="zamik"/>
    <w:basedOn w:val="Normal"/>
    <w:pPr>
      <w:ind w:firstLine="1021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navezava-npb">
    <w:name w:val="navezava-npb"/>
    <w:basedOn w:val="Normal"/>
    <w:pPr>
      <w:pBdr>
        <w:top w:val="none" w:sz="0" w:space="6" w:color="auto"/>
        <w:left w:val="none" w:sz="0" w:space="6" w:color="auto"/>
        <w:bottom w:val="none" w:sz="0" w:space="6" w:color="auto"/>
        <w:right w:val="none" w:sz="0" w:space="6" w:color="auto"/>
      </w:pBdr>
      <w:shd w:val="clear" w:color="auto" w:fill="DFEDF2"/>
      <w:ind w:firstLine="0"/>
      <w:jc w:val="left"/>
    </w:pPr>
    <w:rPr>
      <w:sz w:val="22"/>
      <w:szCs w:val="22"/>
      <w:shd w:val="clear" w:color="auto" w:fill="DFEDF2"/>
    </w:rPr>
  </w:style>
  <w:style w:type="paragraph" w:customStyle="1" w:styleId="priloga">
    <w:name w:val="priloga"/>
    <w:basedOn w:val="Normal"/>
    <w:pPr>
      <w:pBdr>
        <w:top w:val="none" w:sz="0" w:space="24" w:color="auto"/>
        <w:bottom w:val="none" w:sz="0" w:space="3" w:color="auto"/>
      </w:pBdr>
      <w:spacing w:line="20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isrs.si/api/datoteke/integracije/613286596" TargetMode="External" /><Relationship Id="rId5" Type="http://schemas.openxmlformats.org/officeDocument/2006/relationships/hyperlink" Target="https://pisrs.si/api/datoteke/integracije/613286599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PRAV12497 NPB10</dc:title>
  <cp:revision>1</cp:revision>
</cp:coreProperties>
</file>