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317C" w14:textId="77777777" w:rsidR="005C4EA4" w:rsidRDefault="005C4EA4" w:rsidP="007F076F">
      <w:pPr>
        <w:tabs>
          <w:tab w:val="left" w:pos="5670"/>
        </w:tabs>
        <w:spacing w:after="0" w:line="240" w:lineRule="exact"/>
        <w:ind w:left="5670"/>
        <w:jc w:val="both"/>
        <w:rPr>
          <w:rFonts w:ascii="Calibri" w:eastAsia="Calibri" w:hAnsi="Calibri" w:cs="Times New Roman"/>
          <w:lang w:val="it-IT"/>
        </w:rPr>
      </w:pPr>
    </w:p>
    <w:p w14:paraId="2B2C9A58" w14:textId="41E73089" w:rsidR="007F076F" w:rsidRPr="00DC3DC8" w:rsidRDefault="007F076F" w:rsidP="007F076F">
      <w:pPr>
        <w:tabs>
          <w:tab w:val="left" w:pos="5670"/>
        </w:tabs>
        <w:spacing w:after="0" w:line="240" w:lineRule="exact"/>
        <w:ind w:left="5670"/>
        <w:jc w:val="both"/>
        <w:rPr>
          <w:rFonts w:ascii="Calibri" w:eastAsia="Calibri" w:hAnsi="Calibri" w:cs="Times New Roman"/>
          <w:lang w:val="it-IT"/>
        </w:rPr>
      </w:pPr>
      <w:r w:rsidRPr="00DC3DC8">
        <w:rPr>
          <w:rFonts w:ascii="Calibri" w:eastAsia="Calibri" w:hAnsi="Calibri" w:cs="Times New Roman"/>
          <w:lang w:val="it-IT"/>
        </w:rPr>
        <w:t>Številka: 0072-3/202</w:t>
      </w:r>
      <w:r w:rsidR="00D135C2" w:rsidRPr="00DC3DC8">
        <w:rPr>
          <w:rFonts w:ascii="Calibri" w:eastAsia="Calibri" w:hAnsi="Calibri" w:cs="Times New Roman"/>
          <w:lang w:val="it-IT"/>
        </w:rPr>
        <w:t>3</w:t>
      </w:r>
      <w:r w:rsidRPr="00DC3DC8">
        <w:rPr>
          <w:rFonts w:ascii="Calibri" w:eastAsia="Calibri" w:hAnsi="Calibri" w:cs="Times New Roman"/>
          <w:lang w:val="it-IT"/>
        </w:rPr>
        <w:t>-DI/</w:t>
      </w:r>
      <w:r w:rsidR="00B4253D" w:rsidRPr="00DC3DC8">
        <w:rPr>
          <w:rFonts w:ascii="Calibri" w:eastAsia="Calibri" w:hAnsi="Calibri" w:cs="Times New Roman"/>
          <w:lang w:val="it-IT"/>
        </w:rPr>
        <w:t>4</w:t>
      </w:r>
    </w:p>
    <w:p w14:paraId="6929FBF5" w14:textId="60D33F07" w:rsidR="007F076F" w:rsidRPr="00DC3DC8" w:rsidRDefault="007F076F" w:rsidP="007F076F">
      <w:pPr>
        <w:tabs>
          <w:tab w:val="left" w:pos="5670"/>
        </w:tabs>
        <w:spacing w:after="0" w:line="240" w:lineRule="exact"/>
        <w:ind w:left="5670"/>
        <w:jc w:val="both"/>
        <w:rPr>
          <w:rFonts w:ascii="Calibri" w:eastAsia="Calibri" w:hAnsi="Calibri" w:cs="Times New Roman"/>
          <w:lang w:val="it-IT"/>
        </w:rPr>
      </w:pPr>
      <w:r w:rsidRPr="00DC3DC8">
        <w:rPr>
          <w:rFonts w:ascii="Calibri" w:eastAsia="Calibri" w:hAnsi="Calibri" w:cs="Times New Roman"/>
          <w:lang w:val="it-IT"/>
        </w:rPr>
        <w:t xml:space="preserve">Datum: </w:t>
      </w:r>
      <w:r w:rsidR="00A32790" w:rsidRPr="00DC3DC8">
        <w:rPr>
          <w:rFonts w:ascii="Calibri" w:eastAsia="Calibri" w:hAnsi="Calibri" w:cs="Times New Roman"/>
          <w:lang w:val="it-IT"/>
        </w:rPr>
        <w:t>2</w:t>
      </w:r>
      <w:r w:rsidR="00A76C2A" w:rsidRPr="00DC3DC8">
        <w:rPr>
          <w:rFonts w:ascii="Calibri" w:eastAsia="Calibri" w:hAnsi="Calibri" w:cs="Times New Roman"/>
          <w:lang w:val="it-IT"/>
        </w:rPr>
        <w:t>7</w:t>
      </w:r>
      <w:r w:rsidR="008C45E2" w:rsidRPr="00DC3DC8">
        <w:rPr>
          <w:rFonts w:ascii="Calibri" w:eastAsia="Calibri" w:hAnsi="Calibri" w:cs="Times New Roman"/>
          <w:lang w:val="it-IT"/>
        </w:rPr>
        <w:t>.</w:t>
      </w:r>
      <w:r w:rsidRPr="00DC3DC8">
        <w:rPr>
          <w:rFonts w:ascii="Calibri" w:eastAsia="Calibri" w:hAnsi="Calibri" w:cs="Times New Roman"/>
          <w:lang w:val="it-IT"/>
        </w:rPr>
        <w:t xml:space="preserve"> </w:t>
      </w:r>
      <w:r w:rsidR="002B6242" w:rsidRPr="00DC3DC8">
        <w:rPr>
          <w:rFonts w:ascii="Calibri" w:eastAsia="Calibri" w:hAnsi="Calibri" w:cs="Times New Roman"/>
          <w:lang w:val="it-IT"/>
        </w:rPr>
        <w:t>1</w:t>
      </w:r>
      <w:r w:rsidRPr="00DC3DC8">
        <w:rPr>
          <w:rFonts w:ascii="Calibri" w:eastAsia="Calibri" w:hAnsi="Calibri" w:cs="Times New Roman"/>
          <w:lang w:val="it-IT"/>
        </w:rPr>
        <w:t>. 202</w:t>
      </w:r>
      <w:r w:rsidR="008C45E2" w:rsidRPr="00DC3DC8">
        <w:rPr>
          <w:rFonts w:ascii="Calibri" w:eastAsia="Calibri" w:hAnsi="Calibri" w:cs="Times New Roman"/>
          <w:lang w:val="it-IT"/>
        </w:rPr>
        <w:t>3</w:t>
      </w:r>
    </w:p>
    <w:p w14:paraId="0AB3C59E" w14:textId="77777777" w:rsidR="007F076F" w:rsidRPr="00DC3DC8" w:rsidRDefault="007F076F" w:rsidP="007F076F">
      <w:pPr>
        <w:tabs>
          <w:tab w:val="left" w:pos="2513"/>
        </w:tabs>
        <w:spacing w:line="240" w:lineRule="exact"/>
        <w:jc w:val="both"/>
        <w:rPr>
          <w:rFonts w:ascii="Calibri" w:eastAsia="Calibri" w:hAnsi="Calibri" w:cs="Times New Roman"/>
          <w:b/>
        </w:rPr>
      </w:pPr>
    </w:p>
    <w:p w14:paraId="175C50AF" w14:textId="1440A5B1" w:rsidR="004C3D08" w:rsidRPr="00DC3DC8" w:rsidRDefault="0000254E" w:rsidP="004C3D08">
      <w:pPr>
        <w:tabs>
          <w:tab w:val="left" w:pos="5670"/>
        </w:tabs>
        <w:spacing w:after="0" w:line="240" w:lineRule="exact"/>
        <w:jc w:val="both"/>
        <w:rPr>
          <w:rFonts w:ascii="Calibri" w:eastAsia="Calibri" w:hAnsi="Calibri" w:cs="Times New Roman"/>
          <w:b/>
        </w:rPr>
      </w:pPr>
      <w:r w:rsidRPr="00DC3DC8">
        <w:rPr>
          <w:rFonts w:ascii="Calibri" w:eastAsia="Calibri" w:hAnsi="Calibri" w:cs="Times New Roman"/>
          <w:b/>
        </w:rPr>
        <w:t>I</w:t>
      </w:r>
      <w:r w:rsidR="004C3D08" w:rsidRPr="00DC3DC8">
        <w:rPr>
          <w:rFonts w:ascii="Calibri" w:eastAsia="Calibri" w:hAnsi="Calibri" w:cs="Times New Roman"/>
          <w:b/>
        </w:rPr>
        <w:t>zvajalcem</w:t>
      </w:r>
      <w:r w:rsidRPr="00DC3DC8">
        <w:rPr>
          <w:rFonts w:ascii="Calibri" w:eastAsia="Calibri" w:hAnsi="Calibri" w:cs="Times New Roman"/>
          <w:b/>
        </w:rPr>
        <w:t>:</w:t>
      </w:r>
    </w:p>
    <w:p w14:paraId="0F212D2D" w14:textId="41C80458" w:rsidR="0000254E" w:rsidRPr="00DC3DC8" w:rsidRDefault="0000254E"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 xml:space="preserve">specialistične zunajbolnišnične dejavnosti </w:t>
      </w:r>
      <w:r w:rsidR="0098614B" w:rsidRPr="00DC3DC8">
        <w:rPr>
          <w:rFonts w:ascii="Calibri" w:eastAsia="Calibri" w:hAnsi="Calibri" w:cs="Times New Roman"/>
          <w:b/>
          <w:sz w:val="22"/>
          <w:szCs w:val="22"/>
        </w:rPr>
        <w:t xml:space="preserve">ginekologije, </w:t>
      </w:r>
      <w:r w:rsidRPr="00DC3DC8">
        <w:rPr>
          <w:rFonts w:ascii="Calibri" w:eastAsia="Calibri" w:hAnsi="Calibri" w:cs="Times New Roman"/>
          <w:b/>
          <w:sz w:val="22"/>
          <w:szCs w:val="22"/>
        </w:rPr>
        <w:t>revmatologije</w:t>
      </w:r>
      <w:r w:rsidR="009F3532" w:rsidRPr="00DC3DC8">
        <w:rPr>
          <w:rFonts w:ascii="Calibri" w:eastAsia="Calibri" w:hAnsi="Calibri" w:cs="Times New Roman"/>
          <w:b/>
          <w:sz w:val="22"/>
          <w:szCs w:val="22"/>
        </w:rPr>
        <w:t xml:space="preserve"> in pnevmologije</w:t>
      </w:r>
    </w:p>
    <w:p w14:paraId="5F78F407" w14:textId="4DCB0082" w:rsidR="00753E2A" w:rsidRPr="00DC3DC8" w:rsidRDefault="00753E2A"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akutne bolnišnične obravnave: SPP, rehabilitacija Uri Soča in psihiatrija</w:t>
      </w:r>
    </w:p>
    <w:p w14:paraId="7FDF65EC" w14:textId="3DD6CC48" w:rsidR="003D3BDE" w:rsidRPr="00DC3DC8" w:rsidRDefault="003D3BDE"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Onkološki inštitut Ljubljana</w:t>
      </w:r>
    </w:p>
    <w:p w14:paraId="7467C324" w14:textId="244AB9CB" w:rsidR="000A2951" w:rsidRPr="00DC3DC8" w:rsidRDefault="000A2951"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UKC Ljubljana, UKC Maribor, UK Golnik, SB Celje, SB Nova Gorica, SB Novo mesto, SB Slovenj Gradec, SB Jesenice</w:t>
      </w:r>
    </w:p>
    <w:p w14:paraId="61C65738" w14:textId="7BE856B3" w:rsidR="00197183" w:rsidRPr="00DC3DC8" w:rsidRDefault="00197183"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splošnih ambulant za boljšo dostopnost do IOZ ter otroških in šolskih dispanzerjev za boljšo dostopnost do IOZ</w:t>
      </w:r>
    </w:p>
    <w:p w14:paraId="1B5306F8" w14:textId="24CE04D2" w:rsidR="00DB6084" w:rsidRPr="00DC3DC8" w:rsidRDefault="00DB6084"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splošnih ambulant, otroških in šolskih dispanzerjev, dispanzerjev za ženske ter zobozdravstvene dejavnosti za odrasle, mladino in študente</w:t>
      </w:r>
    </w:p>
    <w:p w14:paraId="5D6F0D3D" w14:textId="2FC24A1B" w:rsidR="00E930FC" w:rsidRPr="00DC3DC8" w:rsidRDefault="00E930FC" w:rsidP="0000254E">
      <w:pPr>
        <w:pStyle w:val="Odstavekseznama"/>
        <w:numPr>
          <w:ilvl w:val="0"/>
          <w:numId w:val="13"/>
        </w:numPr>
        <w:tabs>
          <w:tab w:val="left" w:pos="5670"/>
        </w:tabs>
        <w:spacing w:line="240" w:lineRule="exact"/>
        <w:jc w:val="both"/>
        <w:rPr>
          <w:rFonts w:ascii="Calibri" w:eastAsia="Calibri" w:hAnsi="Calibri" w:cs="Times New Roman"/>
          <w:b/>
          <w:sz w:val="22"/>
          <w:szCs w:val="22"/>
        </w:rPr>
      </w:pPr>
      <w:r w:rsidRPr="00DC3DC8">
        <w:rPr>
          <w:rFonts w:ascii="Calibri" w:eastAsia="Calibri" w:hAnsi="Calibri" w:cs="Times New Roman"/>
          <w:b/>
          <w:sz w:val="22"/>
          <w:szCs w:val="22"/>
        </w:rPr>
        <w:t>lekarniške dejavnosti na primarni ravni</w:t>
      </w:r>
    </w:p>
    <w:p w14:paraId="49A93C2C" w14:textId="0BB1A430" w:rsidR="00365DEE" w:rsidRPr="00DC3DC8" w:rsidRDefault="00365DEE" w:rsidP="007F076F">
      <w:pPr>
        <w:tabs>
          <w:tab w:val="left" w:pos="5670"/>
        </w:tabs>
        <w:spacing w:after="0" w:line="240" w:lineRule="exact"/>
        <w:jc w:val="both"/>
        <w:rPr>
          <w:rFonts w:ascii="Calibri" w:eastAsia="Calibri" w:hAnsi="Calibri" w:cs="Times New Roman"/>
          <w:b/>
        </w:rPr>
      </w:pPr>
    </w:p>
    <w:p w14:paraId="38F46BBA" w14:textId="77777777" w:rsidR="002E6C09" w:rsidRPr="00DC3DC8" w:rsidRDefault="002E6C09" w:rsidP="007F076F">
      <w:pPr>
        <w:tabs>
          <w:tab w:val="left" w:pos="5670"/>
        </w:tabs>
        <w:spacing w:after="0" w:line="240" w:lineRule="exact"/>
        <w:jc w:val="both"/>
        <w:rPr>
          <w:rFonts w:ascii="Calibri" w:eastAsia="Calibri" w:hAnsi="Calibri" w:cs="Times New Roman"/>
          <w:b/>
        </w:rPr>
      </w:pPr>
    </w:p>
    <w:p w14:paraId="61CF3B0F" w14:textId="77777777" w:rsidR="00365DEE" w:rsidRPr="00DC3DC8" w:rsidRDefault="00365DEE" w:rsidP="007F076F">
      <w:pPr>
        <w:tabs>
          <w:tab w:val="left" w:pos="5670"/>
        </w:tabs>
        <w:spacing w:after="0" w:line="240" w:lineRule="exact"/>
        <w:jc w:val="both"/>
        <w:rPr>
          <w:rFonts w:ascii="Calibri" w:eastAsia="Calibri" w:hAnsi="Calibri" w:cs="Times New Roman"/>
          <w:b/>
        </w:rPr>
      </w:pPr>
    </w:p>
    <w:p w14:paraId="4A3C2FA4" w14:textId="77777777" w:rsidR="007F076F" w:rsidRPr="00DC3DC8" w:rsidRDefault="007F076F" w:rsidP="007F076F">
      <w:pPr>
        <w:tabs>
          <w:tab w:val="left" w:pos="5670"/>
        </w:tabs>
        <w:spacing w:after="0" w:line="240" w:lineRule="exact"/>
        <w:jc w:val="both"/>
        <w:rPr>
          <w:rFonts w:ascii="Calibri" w:eastAsia="Calibri" w:hAnsi="Calibri" w:cs="Times New Roman"/>
          <w:b/>
          <w:sz w:val="24"/>
          <w:szCs w:val="24"/>
        </w:rPr>
      </w:pPr>
      <w:r w:rsidRPr="00DC3DC8">
        <w:rPr>
          <w:rFonts w:ascii="Calibri" w:eastAsia="Calibri" w:hAnsi="Calibri" w:cs="Times New Roman"/>
          <w:b/>
          <w:sz w:val="24"/>
          <w:szCs w:val="24"/>
        </w:rPr>
        <w:t>Navodilo o beleženju in obračunavanju zdravstvenih storitev in izdanih materialov</w:t>
      </w:r>
    </w:p>
    <w:p w14:paraId="01FC7A21" w14:textId="77777777" w:rsidR="007F076F" w:rsidRPr="00DC3DC8" w:rsidRDefault="007F076F" w:rsidP="007F076F">
      <w:pPr>
        <w:tabs>
          <w:tab w:val="left" w:pos="5670"/>
        </w:tabs>
        <w:spacing w:after="0" w:line="240" w:lineRule="exact"/>
        <w:jc w:val="both"/>
        <w:rPr>
          <w:rFonts w:ascii="Calibri" w:eastAsia="Calibri" w:hAnsi="Calibri" w:cs="Times New Roman"/>
          <w:b/>
        </w:rPr>
      </w:pPr>
    </w:p>
    <w:p w14:paraId="4DE5E568" w14:textId="05780DC4" w:rsidR="007F076F" w:rsidRPr="00DC3DC8" w:rsidRDefault="007F076F" w:rsidP="007F076F">
      <w:pPr>
        <w:tabs>
          <w:tab w:val="left" w:pos="5670"/>
        </w:tabs>
        <w:spacing w:after="0" w:line="240" w:lineRule="exact"/>
        <w:jc w:val="both"/>
        <w:rPr>
          <w:rFonts w:ascii="Calibri" w:eastAsia="Calibri" w:hAnsi="Calibri" w:cs="Times New Roman"/>
          <w:b/>
        </w:rPr>
      </w:pPr>
      <w:r w:rsidRPr="00DC3DC8">
        <w:rPr>
          <w:rFonts w:ascii="Calibri" w:eastAsia="Calibri" w:hAnsi="Calibri" w:cs="Times New Roman"/>
          <w:b/>
        </w:rPr>
        <w:t xml:space="preserve">Okrožnica ZAE </w:t>
      </w:r>
      <w:r w:rsidR="00753E2A" w:rsidRPr="00DC3DC8">
        <w:rPr>
          <w:rFonts w:ascii="Calibri" w:eastAsia="Calibri" w:hAnsi="Calibri" w:cs="Times New Roman"/>
          <w:b/>
        </w:rPr>
        <w:t>3</w:t>
      </w:r>
      <w:r w:rsidR="00270C2B" w:rsidRPr="00DC3DC8">
        <w:rPr>
          <w:rFonts w:ascii="Calibri" w:eastAsia="Calibri" w:hAnsi="Calibri" w:cs="Times New Roman"/>
          <w:b/>
        </w:rPr>
        <w:t>/23</w:t>
      </w:r>
      <w:r w:rsidRPr="00DC3DC8">
        <w:rPr>
          <w:rFonts w:ascii="Calibri" w:eastAsia="Calibri" w:hAnsi="Calibri" w:cs="Times New Roman"/>
          <w:b/>
        </w:rPr>
        <w:t>: Dopolnitve šifrantov za obračun zdravstvenih storitev</w:t>
      </w:r>
    </w:p>
    <w:p w14:paraId="079EA113" w14:textId="77777777" w:rsidR="007F076F" w:rsidRPr="00DC3DC8" w:rsidRDefault="007F076F" w:rsidP="007F076F">
      <w:pPr>
        <w:tabs>
          <w:tab w:val="left" w:pos="5670"/>
        </w:tabs>
        <w:spacing w:after="0" w:line="240" w:lineRule="exact"/>
        <w:jc w:val="both"/>
        <w:rPr>
          <w:rFonts w:ascii="Calibri" w:eastAsia="Calibri" w:hAnsi="Calibri" w:cs="Times New Roman"/>
          <w:b/>
        </w:rPr>
      </w:pPr>
    </w:p>
    <w:p w14:paraId="6B961BA9" w14:textId="77777777" w:rsidR="007F076F" w:rsidRPr="00DC3DC8" w:rsidRDefault="007F076F" w:rsidP="007F076F">
      <w:pPr>
        <w:tabs>
          <w:tab w:val="left" w:pos="5670"/>
        </w:tabs>
        <w:spacing w:after="0" w:line="240" w:lineRule="exact"/>
        <w:jc w:val="both"/>
        <w:rPr>
          <w:rFonts w:ascii="Calibri" w:eastAsia="Calibri" w:hAnsi="Calibri" w:cs="Times New Roman"/>
          <w:b/>
        </w:rPr>
      </w:pPr>
      <w:r w:rsidRPr="00DC3DC8">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78B0005A" w14:textId="77777777" w:rsidR="007F076F" w:rsidRPr="00DC3DC8" w:rsidRDefault="007F076F" w:rsidP="007F076F">
      <w:pPr>
        <w:tabs>
          <w:tab w:val="left" w:pos="5670"/>
        </w:tabs>
        <w:spacing w:after="0" w:line="240" w:lineRule="exact"/>
        <w:jc w:val="both"/>
        <w:rPr>
          <w:rFonts w:ascii="Calibri" w:eastAsia="Calibri" w:hAnsi="Calibri" w:cs="Times New Roman"/>
          <w:b/>
        </w:rPr>
      </w:pPr>
    </w:p>
    <w:p w14:paraId="3538F61A" w14:textId="26C1935B" w:rsidR="007F076F" w:rsidRPr="00DC3DC8" w:rsidRDefault="007F076F" w:rsidP="007F076F">
      <w:pPr>
        <w:tabs>
          <w:tab w:val="left" w:pos="5670"/>
        </w:tabs>
        <w:spacing w:after="0" w:line="240" w:lineRule="exact"/>
        <w:jc w:val="both"/>
        <w:rPr>
          <w:rFonts w:ascii="Calibri" w:eastAsia="Calibri" w:hAnsi="Calibri" w:cs="Times New Roman"/>
          <w:bCs/>
        </w:rPr>
      </w:pPr>
      <w:r w:rsidRPr="00DC3DC8">
        <w:rPr>
          <w:rFonts w:ascii="Calibri" w:eastAsia="Calibri" w:hAnsi="Calibri" w:cs="Times New Roman"/>
          <w:bCs/>
        </w:rPr>
        <w:t xml:space="preserve">Podlaga za dopolnitve in spremembe šifrantov za obračun zdravstvenih storitev </w:t>
      </w:r>
      <w:r w:rsidR="00753E2A" w:rsidRPr="00DC3DC8">
        <w:rPr>
          <w:rFonts w:ascii="Calibri" w:eastAsia="Calibri" w:hAnsi="Calibri" w:cs="Times New Roman"/>
          <w:bCs/>
        </w:rPr>
        <w:t>s</w:t>
      </w:r>
      <w:r w:rsidR="00712F7B" w:rsidRPr="00DC3DC8">
        <w:rPr>
          <w:rFonts w:ascii="Calibri" w:eastAsia="Calibri" w:hAnsi="Calibri" w:cs="Times New Roman"/>
          <w:bCs/>
        </w:rPr>
        <w:t>ta</w:t>
      </w:r>
      <w:r w:rsidR="00A32790" w:rsidRPr="00DC3DC8">
        <w:rPr>
          <w:rFonts w:ascii="Calibri" w:eastAsia="Calibri" w:hAnsi="Calibri" w:cs="Times New Roman"/>
          <w:bCs/>
        </w:rPr>
        <w:t xml:space="preserve"> </w:t>
      </w:r>
      <w:r w:rsidR="003D3BDE" w:rsidRPr="00DC3DC8">
        <w:rPr>
          <w:rFonts w:ascii="Calibri" w:eastAsia="Calibri" w:hAnsi="Calibri" w:cs="Times New Roman"/>
          <w:bCs/>
        </w:rPr>
        <w:t>sprejeta</w:t>
      </w:r>
      <w:r w:rsidR="00753E2A" w:rsidRPr="00DC3DC8">
        <w:rPr>
          <w:rFonts w:ascii="Calibri" w:eastAsia="Calibri" w:hAnsi="Calibri" w:cs="Times New Roman"/>
          <w:bCs/>
        </w:rPr>
        <w:t xml:space="preserve"> </w:t>
      </w:r>
      <w:r w:rsidR="003D3BDE" w:rsidRPr="00DC3DC8">
        <w:rPr>
          <w:rFonts w:ascii="Calibri" w:eastAsia="Calibri" w:hAnsi="Calibri" w:cs="Times New Roman"/>
          <w:bCs/>
        </w:rPr>
        <w:t>Uredba o spremembah in dopolnitvi Uredbe o določitvi programov storitev obveznega zdravstvenega zavarovanja, opredelitev zmogljivosti, potrebnih za njegovo izvajanje, in določitev obsega sredstev za leto 2022 (Uradni list RS, št. 165/2022)</w:t>
      </w:r>
      <w:r w:rsidR="00712F7B" w:rsidRPr="00DC3DC8">
        <w:rPr>
          <w:rFonts w:ascii="Calibri" w:eastAsia="Calibri" w:hAnsi="Calibri" w:cs="Times New Roman"/>
          <w:bCs/>
        </w:rPr>
        <w:t xml:space="preserve"> in </w:t>
      </w:r>
      <w:r w:rsidR="00712F7B" w:rsidRPr="00DC3DC8">
        <w:rPr>
          <w:rFonts w:ascii="Calibri" w:eastAsia="Times New Roman" w:hAnsi="Calibri" w:cs="Calibri"/>
          <w:lang w:eastAsia="sl-SI"/>
        </w:rPr>
        <w:t>Aneks št. 1 k Splošnemu dogovoru za pogodbeno leto 2022</w:t>
      </w:r>
      <w:r w:rsidR="00150849" w:rsidRPr="00DC3DC8">
        <w:rPr>
          <w:rFonts w:ascii="Calibri" w:eastAsia="Calibri" w:hAnsi="Calibri" w:cs="Times New Roman"/>
          <w:bCs/>
        </w:rPr>
        <w:t xml:space="preserve"> ter druge dopolnitve</w:t>
      </w:r>
      <w:r w:rsidR="0002351C" w:rsidRPr="00DC3DC8">
        <w:rPr>
          <w:rFonts w:ascii="Calibri" w:eastAsia="Calibri" w:hAnsi="Calibri" w:cs="Times New Roman"/>
          <w:bCs/>
        </w:rPr>
        <w:t>.</w:t>
      </w:r>
      <w:r w:rsidR="003D3BDE" w:rsidRPr="00DC3DC8">
        <w:rPr>
          <w:rFonts w:ascii="Calibri" w:eastAsia="Calibri" w:hAnsi="Calibri" w:cs="Times New Roman"/>
          <w:bCs/>
        </w:rPr>
        <w:t xml:space="preserve"> </w:t>
      </w:r>
      <w:r w:rsidR="00753E2A" w:rsidRPr="00DC3DC8">
        <w:rPr>
          <w:rFonts w:ascii="Calibri" w:eastAsia="Calibri" w:hAnsi="Calibri" w:cs="Times New Roman"/>
          <w:bCs/>
        </w:rPr>
        <w:t xml:space="preserve">      </w:t>
      </w:r>
    </w:p>
    <w:p w14:paraId="132463CA" w14:textId="77777777" w:rsidR="007F076F" w:rsidRPr="00DC3DC8" w:rsidRDefault="007F076F" w:rsidP="007F076F">
      <w:pPr>
        <w:tabs>
          <w:tab w:val="left" w:pos="5670"/>
        </w:tabs>
        <w:spacing w:after="0" w:line="240" w:lineRule="exact"/>
        <w:jc w:val="both"/>
        <w:rPr>
          <w:rFonts w:ascii="Calibri" w:eastAsia="Calibri" w:hAnsi="Calibri" w:cs="Times New Roman"/>
          <w:bCs/>
        </w:rPr>
      </w:pPr>
    </w:p>
    <w:p w14:paraId="7614F793" w14:textId="288285B7" w:rsidR="007F076F" w:rsidRPr="00DC3DC8" w:rsidRDefault="00A32790" w:rsidP="007F076F">
      <w:pPr>
        <w:tabs>
          <w:tab w:val="left" w:pos="5670"/>
        </w:tabs>
        <w:spacing w:after="0" w:line="240" w:lineRule="exact"/>
        <w:jc w:val="both"/>
        <w:rPr>
          <w:rFonts w:ascii="Calibri" w:eastAsia="Calibri" w:hAnsi="Calibri" w:cs="Times New Roman"/>
          <w:bCs/>
        </w:rPr>
      </w:pPr>
      <w:r w:rsidRPr="00DC3DC8">
        <w:rPr>
          <w:rFonts w:ascii="Calibri" w:eastAsia="Calibri" w:hAnsi="Calibri" w:cs="Times New Roman"/>
          <w:bCs/>
        </w:rPr>
        <w:t xml:space="preserve">Spremembe in dopolnitve so oštevilčene, pri vsaki točki pa je navedena kontaktna oseba za vsebinska vprašanja. </w:t>
      </w:r>
      <w:r w:rsidR="007F076F" w:rsidRPr="00DC3DC8">
        <w:rPr>
          <w:rFonts w:ascii="Calibri" w:eastAsia="Calibri" w:hAnsi="Calibri" w:cs="Times New Roman"/>
          <w:bCs/>
        </w:rPr>
        <w:t>V okrožnici je zajeta naslednja vsebina:</w:t>
      </w:r>
    </w:p>
    <w:p w14:paraId="1D6AAF47" w14:textId="77777777" w:rsidR="007F076F" w:rsidRPr="00DC3DC8" w:rsidRDefault="007F076F" w:rsidP="007F076F">
      <w:pPr>
        <w:tabs>
          <w:tab w:val="left" w:pos="5670"/>
        </w:tabs>
        <w:spacing w:after="0" w:line="240" w:lineRule="exact"/>
        <w:jc w:val="both"/>
        <w:rPr>
          <w:rFonts w:ascii="Calibri" w:eastAsia="Calibri" w:hAnsi="Calibri" w:cs="Times New Roman"/>
          <w:bCs/>
        </w:rPr>
      </w:pPr>
    </w:p>
    <w:p w14:paraId="46DE0162" w14:textId="1E4A642C" w:rsidR="00751EBE" w:rsidRPr="00DC3DC8" w:rsidRDefault="007F076F" w:rsidP="00751EBE">
      <w:pPr>
        <w:pStyle w:val="Kazalovsebine1"/>
        <w:jc w:val="both"/>
        <w:rPr>
          <w:rFonts w:asciiTheme="minorHAnsi" w:eastAsiaTheme="minorEastAsia" w:hAnsiTheme="minorHAnsi" w:cstheme="minorBidi"/>
          <w:noProof/>
          <w:szCs w:val="22"/>
        </w:rPr>
      </w:pPr>
      <w:r w:rsidRPr="00DC3DC8">
        <w:rPr>
          <w:bCs/>
          <w:noProof/>
        </w:rPr>
        <w:fldChar w:fldCharType="begin"/>
      </w:r>
      <w:r w:rsidRPr="00DC3DC8">
        <w:rPr>
          <w:bCs/>
          <w:noProof/>
        </w:rPr>
        <w:instrText xml:space="preserve"> TOC \o "1-3" \n \h \z \u </w:instrText>
      </w:r>
      <w:r w:rsidRPr="00DC3DC8">
        <w:rPr>
          <w:bCs/>
          <w:noProof/>
        </w:rPr>
        <w:fldChar w:fldCharType="separate"/>
      </w:r>
      <w:hyperlink w:anchor="_Toc125701140" w:history="1">
        <w:r w:rsidR="00751EBE" w:rsidRPr="00DC3DC8">
          <w:rPr>
            <w:rStyle w:val="Hiperpovezava"/>
            <w:rFonts w:cs="Calibri"/>
            <w:noProof/>
          </w:rPr>
          <w:t>1.</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Ginekologija – uvedba možnosti obračuna dodatnih ločeno zaračunljivih materialov in storitev s 1. 1. 2023</w:t>
        </w:r>
      </w:hyperlink>
    </w:p>
    <w:p w14:paraId="4DE7DC66" w14:textId="1FA4765A"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1" w:history="1">
        <w:r w:rsidR="00751EBE" w:rsidRPr="00DC3DC8">
          <w:rPr>
            <w:rStyle w:val="Hiperpovezava"/>
            <w:rFonts w:cs="Calibri"/>
            <w:noProof/>
          </w:rPr>
          <w:t>2.</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Nova klasifikacija storitev akutne bolnišnične obravnave SPP (verzija 10.0) – spremembe uteži in opisov nekaterih SPP s 1. 1. 2023</w:t>
        </w:r>
      </w:hyperlink>
    </w:p>
    <w:p w14:paraId="52FF200D" w14:textId="24237D97"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2" w:history="1">
        <w:r w:rsidR="00751EBE" w:rsidRPr="00DC3DC8">
          <w:rPr>
            <w:rStyle w:val="Hiperpovezava"/>
            <w:rFonts w:cs="Calibri"/>
            <w:noProof/>
          </w:rPr>
          <w:t>3.</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Lekarne na primarni ravni – posodobitev osebne kartice zdravil oproščena plačila DDV s 1. 2. 2023</w:t>
        </w:r>
      </w:hyperlink>
    </w:p>
    <w:p w14:paraId="207D7B40" w14:textId="0D19E5B5"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3" w:history="1">
        <w:r w:rsidR="00751EBE" w:rsidRPr="00DC3DC8">
          <w:rPr>
            <w:rStyle w:val="Hiperpovezava"/>
            <w:rFonts w:cs="Calibri"/>
            <w:noProof/>
          </w:rPr>
          <w:t>4.</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Revmatologija – sprememba pravil beleženja specifičnih storitev ob pregledu s 1. 3. 2023</w:t>
        </w:r>
      </w:hyperlink>
    </w:p>
    <w:p w14:paraId="08EE08A4" w14:textId="25369DBF"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4" w:history="1">
        <w:r w:rsidR="00751EBE" w:rsidRPr="00DC3DC8">
          <w:rPr>
            <w:rStyle w:val="Hiperpovezava"/>
            <w:rFonts w:cs="Calibri"/>
            <w:noProof/>
          </w:rPr>
          <w:t>5.</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Pnevmologija – sprememba maksimalno dovoljenega števila storitev na obravnavo pri alergenih za podkožno imunoterapijo (Q0319 in Q0320) ter pri storitvi PUL013 »Kožni vbodni ali intradermalni testi alergije« s 1. 3. 2023</w:t>
        </w:r>
      </w:hyperlink>
    </w:p>
    <w:p w14:paraId="2ECE2C82" w14:textId="4A23C811"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5" w:history="1">
        <w:r w:rsidR="00751EBE" w:rsidRPr="00DC3DC8">
          <w:rPr>
            <w:rStyle w:val="Hiperpovezava"/>
            <w:rFonts w:cs="Calibri"/>
            <w:noProof/>
          </w:rPr>
          <w:t>6.</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Ambulante za boljšo dostopnost do izbranega osebnega zdravnika – sprememba obračuna s 1. 3. 2023</w:t>
        </w:r>
      </w:hyperlink>
    </w:p>
    <w:p w14:paraId="368E4228" w14:textId="116422CF"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6" w:history="1">
        <w:r w:rsidR="00751EBE" w:rsidRPr="00DC3DC8">
          <w:rPr>
            <w:rStyle w:val="Hiperpovezava"/>
            <w:rFonts w:cs="Calibri"/>
            <w:noProof/>
          </w:rPr>
          <w:t>7.</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Dodatek za brezšivno skrb v bolnišnični obravnavi (BS)</w:t>
        </w:r>
      </w:hyperlink>
    </w:p>
    <w:p w14:paraId="0A8CC496" w14:textId="6C478F0A"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7" w:history="1">
        <w:r w:rsidR="00751EBE" w:rsidRPr="00DC3DC8">
          <w:rPr>
            <w:rStyle w:val="Hiperpovezava"/>
            <w:rFonts w:cs="Calibri"/>
            <w:noProof/>
          </w:rPr>
          <w:t>8.</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Pavšal za Državni program obvladovanja raka (E0836) – podaljšanje datuma veljavnosti</w:t>
        </w:r>
      </w:hyperlink>
    </w:p>
    <w:p w14:paraId="555E6FFB" w14:textId="1F0D7914"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8" w:history="1">
        <w:r w:rsidR="00751EBE" w:rsidRPr="00DC3DC8">
          <w:rPr>
            <w:rStyle w:val="Hiperpovezava"/>
            <w:rFonts w:cs="Calibri"/>
            <w:noProof/>
          </w:rPr>
          <w:t>9.</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Telemedicinska obravnava pacientov, obolelih s COVID 19 (E0766 in E0767) – podaljšanje datuma veljavnosti</w:t>
        </w:r>
      </w:hyperlink>
    </w:p>
    <w:p w14:paraId="22FAC095" w14:textId="5EB09B83" w:rsidR="00751EBE" w:rsidRPr="00DC3DC8" w:rsidRDefault="00177EF1" w:rsidP="00751EBE">
      <w:pPr>
        <w:pStyle w:val="Kazalovsebine1"/>
        <w:jc w:val="both"/>
        <w:rPr>
          <w:rFonts w:asciiTheme="minorHAnsi" w:eastAsiaTheme="minorEastAsia" w:hAnsiTheme="minorHAnsi" w:cstheme="minorBidi"/>
          <w:noProof/>
          <w:szCs w:val="22"/>
        </w:rPr>
      </w:pPr>
      <w:hyperlink w:anchor="_Toc125701149" w:history="1">
        <w:r w:rsidR="00751EBE" w:rsidRPr="00DC3DC8">
          <w:rPr>
            <w:rStyle w:val="Hiperpovezava"/>
            <w:rFonts w:cs="Calibri"/>
            <w:noProof/>
          </w:rPr>
          <w:t>10.</w:t>
        </w:r>
        <w:r w:rsidR="00751EBE" w:rsidRPr="00DC3DC8">
          <w:rPr>
            <w:rFonts w:asciiTheme="minorHAnsi" w:eastAsiaTheme="minorEastAsia" w:hAnsiTheme="minorHAnsi" w:cstheme="minorBidi"/>
            <w:noProof/>
            <w:szCs w:val="22"/>
          </w:rPr>
          <w:tab/>
        </w:r>
        <w:r w:rsidR="00751EBE" w:rsidRPr="00DC3DC8">
          <w:rPr>
            <w:rStyle w:val="Hiperpovezava"/>
            <w:rFonts w:cs="Calibri"/>
            <w:noProof/>
          </w:rPr>
          <w:t>Obračun dodatka za povečan obseg dela za posebne obremenitve – dopolnitev Okrožnice ZAE 2/23 v točki 2</w:t>
        </w:r>
      </w:hyperlink>
    </w:p>
    <w:p w14:paraId="45C633C1" w14:textId="08BAEA26" w:rsidR="00FD4CB9" w:rsidRPr="00DC3DC8" w:rsidRDefault="007F076F" w:rsidP="00197183">
      <w:pPr>
        <w:tabs>
          <w:tab w:val="left" w:pos="482"/>
          <w:tab w:val="right" w:leader="dot" w:pos="9629"/>
        </w:tabs>
        <w:spacing w:after="0" w:line="240" w:lineRule="auto"/>
        <w:jc w:val="both"/>
        <w:rPr>
          <w:rFonts w:ascii="Arial" w:eastAsia="Times New Roman" w:hAnsi="Arial" w:cs="Arial"/>
          <w:noProof/>
          <w:sz w:val="24"/>
          <w:szCs w:val="24"/>
          <w:lang w:eastAsia="sl-SI"/>
        </w:rPr>
      </w:pPr>
      <w:r w:rsidRPr="00DC3DC8">
        <w:rPr>
          <w:rFonts w:ascii="Arial" w:eastAsia="Times New Roman" w:hAnsi="Arial" w:cs="Arial"/>
          <w:bCs/>
          <w:noProof/>
          <w:sz w:val="24"/>
          <w:szCs w:val="24"/>
          <w:lang w:eastAsia="sl-SI"/>
        </w:rPr>
        <w:fldChar w:fldCharType="end"/>
      </w:r>
    </w:p>
    <w:p w14:paraId="34086FA9" w14:textId="77777777" w:rsidR="00CE05B1" w:rsidRPr="00DC3DC8" w:rsidRDefault="00CE05B1" w:rsidP="007F076F">
      <w:pPr>
        <w:tabs>
          <w:tab w:val="left" w:pos="5670"/>
        </w:tabs>
        <w:spacing w:after="0" w:line="240" w:lineRule="exact"/>
        <w:jc w:val="both"/>
        <w:rPr>
          <w:rFonts w:ascii="Calibri" w:eastAsia="Calibri" w:hAnsi="Calibri" w:cs="Times New Roman"/>
          <w:b/>
          <w:bCs/>
        </w:rPr>
      </w:pPr>
    </w:p>
    <w:p w14:paraId="25619471" w14:textId="77777777" w:rsidR="007F076F" w:rsidRPr="00DC3DC8" w:rsidRDefault="007F076F" w:rsidP="007F076F">
      <w:pPr>
        <w:tabs>
          <w:tab w:val="left" w:pos="5670"/>
        </w:tabs>
        <w:spacing w:after="0" w:line="240" w:lineRule="exact"/>
        <w:jc w:val="both"/>
        <w:rPr>
          <w:rFonts w:ascii="Calibri" w:eastAsia="Calibri" w:hAnsi="Calibri" w:cs="Times New Roman"/>
        </w:rPr>
      </w:pPr>
      <w:r w:rsidRPr="00DC3DC8">
        <w:rPr>
          <w:rFonts w:ascii="Calibri" w:eastAsia="Calibri" w:hAnsi="Calibri" w:cs="Times New Roman"/>
        </w:rPr>
        <w:lastRenderedPageBreak/>
        <w:t>S spoštovanjem.</w:t>
      </w:r>
    </w:p>
    <w:p w14:paraId="2B88731E" w14:textId="77777777" w:rsidR="007F076F" w:rsidRPr="00DC3DC8" w:rsidRDefault="007F076F" w:rsidP="007F076F">
      <w:pPr>
        <w:tabs>
          <w:tab w:val="left" w:pos="5670"/>
        </w:tabs>
        <w:spacing w:after="0" w:line="240" w:lineRule="exact"/>
        <w:jc w:val="both"/>
        <w:rPr>
          <w:rFonts w:ascii="Calibri" w:eastAsia="Calibri" w:hAnsi="Calibri" w:cs="Times New Roman"/>
        </w:rPr>
      </w:pPr>
    </w:p>
    <w:p w14:paraId="2CB504FD" w14:textId="77777777" w:rsidR="007F076F" w:rsidRPr="00DC3DC8" w:rsidRDefault="007F076F" w:rsidP="007F076F">
      <w:pPr>
        <w:tabs>
          <w:tab w:val="left" w:pos="5670"/>
        </w:tabs>
        <w:spacing w:after="0" w:line="240" w:lineRule="exact"/>
        <w:jc w:val="both"/>
        <w:rPr>
          <w:rFonts w:ascii="Calibri" w:eastAsia="Calibri" w:hAnsi="Calibri" w:cs="Times New Roman"/>
        </w:rPr>
      </w:pPr>
    </w:p>
    <w:p w14:paraId="378D3581" w14:textId="77777777" w:rsidR="007F076F" w:rsidRPr="00DC3DC8" w:rsidRDefault="007F076F" w:rsidP="007F076F">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7F076F" w:rsidRPr="00DC3DC8" w14:paraId="603AF55C" w14:textId="77777777" w:rsidTr="004B13CB">
        <w:tc>
          <w:tcPr>
            <w:tcW w:w="4701" w:type="dxa"/>
          </w:tcPr>
          <w:p w14:paraId="3F4A564D" w14:textId="77777777" w:rsidR="007F076F" w:rsidRPr="00DC3DC8" w:rsidRDefault="007F076F" w:rsidP="004B13CB">
            <w:pPr>
              <w:tabs>
                <w:tab w:val="left" w:pos="5670"/>
              </w:tabs>
              <w:spacing w:line="240" w:lineRule="exact"/>
              <w:jc w:val="both"/>
              <w:rPr>
                <w:rFonts w:ascii="Calibri" w:eastAsia="Calibri" w:hAnsi="Calibri" w:cs="Times New Roman"/>
              </w:rPr>
            </w:pPr>
            <w:r w:rsidRPr="00DC3DC8">
              <w:rPr>
                <w:rFonts w:ascii="Calibri" w:eastAsia="Calibri" w:hAnsi="Calibri" w:cs="Times New Roman"/>
              </w:rPr>
              <w:t>Pripravili:</w:t>
            </w:r>
          </w:p>
          <w:p w14:paraId="21DDA9E8" w14:textId="77777777" w:rsidR="007F076F" w:rsidRPr="00DC3DC8"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Jerneja Bergant, strokovna sodelavka</w:t>
            </w:r>
          </w:p>
          <w:p w14:paraId="646B876A" w14:textId="1B546702" w:rsidR="00753E2A" w:rsidRPr="00DC3DC8"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Saša Strnad, svetovalka področja</w:t>
            </w:r>
          </w:p>
          <w:p w14:paraId="1000873B" w14:textId="41899240" w:rsidR="00CE2142" w:rsidRPr="00DC3DC8" w:rsidRDefault="00CE2142"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Franc Osredkar, strokovni sodelavec</w:t>
            </w:r>
          </w:p>
          <w:p w14:paraId="4FCBEC44" w14:textId="2976AB4D" w:rsidR="007F076F" w:rsidRPr="00DC3DC8" w:rsidRDefault="00753E2A"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Rozeta Hafner, višja področna svetovalka</w:t>
            </w:r>
            <w:r w:rsidR="007F076F" w:rsidRPr="00DC3DC8">
              <w:rPr>
                <w:rFonts w:ascii="Calibri" w:eastAsia="Times New Roman" w:hAnsi="Calibri" w:cs="Calibri"/>
                <w:color w:val="000000"/>
                <w:lang w:eastAsia="sl-SI"/>
              </w:rPr>
              <w:tab/>
            </w:r>
          </w:p>
        </w:tc>
        <w:tc>
          <w:tcPr>
            <w:tcW w:w="4701" w:type="dxa"/>
          </w:tcPr>
          <w:p w14:paraId="5D33D560" w14:textId="77777777" w:rsidR="007F076F" w:rsidRPr="00DC3DC8" w:rsidRDefault="007F076F" w:rsidP="004B13CB">
            <w:pPr>
              <w:tabs>
                <w:tab w:val="left" w:pos="5670"/>
              </w:tabs>
              <w:spacing w:line="240" w:lineRule="exact"/>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Sladjana Jelisavčić,</w:t>
            </w:r>
          </w:p>
          <w:p w14:paraId="5F34AEBF" w14:textId="77777777" w:rsidR="007F076F" w:rsidRPr="00DC3DC8" w:rsidRDefault="007F076F" w:rsidP="004B13CB">
            <w:pPr>
              <w:tabs>
                <w:tab w:val="left" w:pos="5670"/>
              </w:tabs>
              <w:spacing w:line="240" w:lineRule="exact"/>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vodja – direktorica področja I</w:t>
            </w:r>
          </w:p>
          <w:p w14:paraId="1BD768BD" w14:textId="77777777" w:rsidR="005C7CC4" w:rsidRPr="00DC3DC8" w:rsidRDefault="005C7CC4" w:rsidP="004B13CB">
            <w:pPr>
              <w:tabs>
                <w:tab w:val="left" w:pos="5670"/>
              </w:tabs>
              <w:spacing w:line="240" w:lineRule="exact"/>
              <w:jc w:val="both"/>
              <w:rPr>
                <w:rFonts w:ascii="Calibri" w:eastAsia="Calibri" w:hAnsi="Calibri" w:cs="Times New Roman"/>
                <w:color w:val="000000"/>
              </w:rPr>
            </w:pPr>
          </w:p>
          <w:p w14:paraId="443C5BEE" w14:textId="77777777" w:rsidR="005C7CC4" w:rsidRPr="00DC3DC8" w:rsidRDefault="005C7CC4" w:rsidP="005C7CC4">
            <w:pPr>
              <w:tabs>
                <w:tab w:val="left" w:pos="5670"/>
              </w:tabs>
              <w:spacing w:line="240" w:lineRule="exact"/>
              <w:jc w:val="both"/>
              <w:rPr>
                <w:rFonts w:ascii="Calibri" w:eastAsia="Calibri" w:hAnsi="Calibri" w:cs="Times New Roman"/>
              </w:rPr>
            </w:pPr>
            <w:r w:rsidRPr="00DC3DC8">
              <w:rPr>
                <w:rFonts w:ascii="Calibri" w:eastAsia="Calibri" w:hAnsi="Calibri" w:cs="Times New Roman"/>
              </w:rPr>
              <w:t>Po pooblastilu:</w:t>
            </w:r>
          </w:p>
          <w:p w14:paraId="5A9F8EA7" w14:textId="77777777" w:rsidR="005C7CC4" w:rsidRPr="00DC3DC8" w:rsidRDefault="005C7CC4" w:rsidP="005C7CC4">
            <w:pPr>
              <w:tabs>
                <w:tab w:val="left" w:pos="5670"/>
              </w:tabs>
              <w:spacing w:line="240" w:lineRule="exact"/>
              <w:jc w:val="both"/>
              <w:rPr>
                <w:rFonts w:ascii="Calibri" w:eastAsia="Calibri" w:hAnsi="Calibri" w:cs="Times New Roman"/>
              </w:rPr>
            </w:pPr>
            <w:r w:rsidRPr="00DC3DC8">
              <w:rPr>
                <w:rFonts w:ascii="Calibri" w:eastAsia="Calibri" w:hAnsi="Calibri" w:cs="Times New Roman"/>
              </w:rPr>
              <w:t>Marjeta Trček</w:t>
            </w:r>
          </w:p>
          <w:p w14:paraId="288DBA90" w14:textId="36308AAA" w:rsidR="005C7CC4" w:rsidRPr="00DC3DC8" w:rsidRDefault="005C7CC4" w:rsidP="005C7CC4">
            <w:pPr>
              <w:tabs>
                <w:tab w:val="left" w:pos="5670"/>
              </w:tabs>
              <w:spacing w:line="240" w:lineRule="exact"/>
              <w:jc w:val="both"/>
              <w:rPr>
                <w:rFonts w:ascii="Calibri" w:eastAsia="Calibri" w:hAnsi="Calibri" w:cs="Times New Roman"/>
              </w:rPr>
            </w:pPr>
            <w:r w:rsidRPr="00DC3DC8">
              <w:rPr>
                <w:rFonts w:ascii="Calibri" w:eastAsia="Calibri" w:hAnsi="Calibri" w:cs="Times New Roman"/>
              </w:rPr>
              <w:t>vodja oddelka I</w:t>
            </w:r>
          </w:p>
        </w:tc>
      </w:tr>
    </w:tbl>
    <w:p w14:paraId="7244C772" w14:textId="77777777" w:rsidR="00CF576C" w:rsidRPr="00DC3DC8" w:rsidRDefault="00CF576C" w:rsidP="007F076F">
      <w:pPr>
        <w:tabs>
          <w:tab w:val="left" w:pos="5670"/>
        </w:tabs>
        <w:spacing w:after="0" w:line="240" w:lineRule="exact"/>
        <w:jc w:val="both"/>
        <w:rPr>
          <w:rFonts w:ascii="Calibri" w:eastAsia="Times New Roman" w:hAnsi="Calibri" w:cs="Calibri"/>
          <w:color w:val="000000"/>
          <w:lang w:eastAsia="sl-SI"/>
        </w:rPr>
      </w:pPr>
    </w:p>
    <w:p w14:paraId="628EB0FE" w14:textId="77777777" w:rsidR="00CF576C" w:rsidRPr="00DC3DC8" w:rsidRDefault="00CF576C" w:rsidP="007F076F">
      <w:pPr>
        <w:tabs>
          <w:tab w:val="left" w:pos="5670"/>
        </w:tabs>
        <w:spacing w:after="0" w:line="240" w:lineRule="exact"/>
        <w:jc w:val="both"/>
        <w:rPr>
          <w:rFonts w:ascii="Calibri" w:eastAsia="Times New Roman" w:hAnsi="Calibri" w:cs="Calibri"/>
          <w:color w:val="000000"/>
          <w:lang w:eastAsia="sl-SI"/>
        </w:rPr>
      </w:pPr>
    </w:p>
    <w:p w14:paraId="7375FA66" w14:textId="53A45647" w:rsidR="007F076F" w:rsidRPr="00DC3DC8" w:rsidRDefault="007F076F" w:rsidP="007F076F">
      <w:pPr>
        <w:tabs>
          <w:tab w:val="left" w:pos="5670"/>
        </w:tabs>
        <w:spacing w:after="0" w:line="240" w:lineRule="exact"/>
        <w:jc w:val="both"/>
        <w:rPr>
          <w:rFonts w:ascii="Calibri" w:eastAsia="Times New Roman" w:hAnsi="Calibri" w:cs="Calibri"/>
          <w:color w:val="000000"/>
          <w:lang w:eastAsia="sl-SI"/>
        </w:rPr>
      </w:pPr>
      <w:r w:rsidRPr="00DC3DC8">
        <w:rPr>
          <w:rFonts w:ascii="Calibri" w:eastAsia="Times New Roman" w:hAnsi="Calibri" w:cs="Calibri"/>
          <w:color w:val="000000"/>
          <w:lang w:eastAsia="sl-SI"/>
        </w:rPr>
        <w:tab/>
      </w:r>
    </w:p>
    <w:p w14:paraId="3B99A9F3" w14:textId="77777777" w:rsidR="007D5F98" w:rsidRPr="00DC3DC8" w:rsidRDefault="007D5F98" w:rsidP="007D5F98">
      <w:r w:rsidRPr="00DC3DC8">
        <w:t>Priloge:</w:t>
      </w:r>
    </w:p>
    <w:p w14:paraId="1119A838" w14:textId="3C7D6A9A" w:rsidR="007D5F98" w:rsidRPr="00DC3DC8" w:rsidRDefault="007D5F98" w:rsidP="007D5F98">
      <w:pPr>
        <w:pStyle w:val="Odstavekseznama"/>
        <w:numPr>
          <w:ilvl w:val="0"/>
          <w:numId w:val="2"/>
        </w:numPr>
        <w:jc w:val="both"/>
        <w:rPr>
          <w:rFonts w:asciiTheme="minorHAnsi" w:hAnsiTheme="minorHAnsi" w:cstheme="minorHAnsi"/>
          <w:sz w:val="22"/>
          <w:szCs w:val="22"/>
        </w:rPr>
      </w:pPr>
      <w:r w:rsidRPr="00DC3DC8">
        <w:rPr>
          <w:rFonts w:asciiTheme="minorHAnsi" w:hAnsiTheme="minorHAnsi" w:cstheme="minorHAnsi"/>
          <w:sz w:val="22"/>
          <w:szCs w:val="22"/>
        </w:rPr>
        <w:t>Priloga 1: Spremembe seznama storitev 15.26 »Skupine primerljivih primerov (SPP)«</w:t>
      </w:r>
    </w:p>
    <w:p w14:paraId="326F5EED" w14:textId="397FEE5E" w:rsidR="00DB6084" w:rsidRPr="00DC3DC8" w:rsidRDefault="00DB6084" w:rsidP="007D5F98">
      <w:pPr>
        <w:pStyle w:val="Odstavekseznama"/>
        <w:numPr>
          <w:ilvl w:val="0"/>
          <w:numId w:val="2"/>
        </w:numPr>
        <w:jc w:val="both"/>
        <w:rPr>
          <w:rFonts w:asciiTheme="minorHAnsi" w:hAnsiTheme="minorHAnsi" w:cstheme="minorHAnsi"/>
          <w:sz w:val="22"/>
          <w:szCs w:val="22"/>
        </w:rPr>
      </w:pPr>
      <w:r w:rsidRPr="00DC3DC8">
        <w:rPr>
          <w:rFonts w:asciiTheme="minorHAnsi" w:hAnsiTheme="minorHAnsi" w:cstheme="minorHAnsi"/>
          <w:sz w:val="22"/>
          <w:szCs w:val="22"/>
        </w:rPr>
        <w:t>Priloga 2: Vzorec razčlenjenih vrednosti po posameznih dejavnostih - dopolnitev 27. 1. 2023</w:t>
      </w:r>
    </w:p>
    <w:p w14:paraId="599BB01D" w14:textId="77777777" w:rsidR="00CE05B1" w:rsidRPr="00DC3DC8" w:rsidRDefault="00CE05B1" w:rsidP="007F076F">
      <w:pPr>
        <w:spacing w:after="0" w:line="240" w:lineRule="auto"/>
        <w:rPr>
          <w:rFonts w:ascii="Calibri" w:eastAsia="Calibri" w:hAnsi="Calibri" w:cs="Times New Roman"/>
        </w:rPr>
      </w:pPr>
    </w:p>
    <w:p w14:paraId="1DF2E082" w14:textId="77777777" w:rsidR="00CE05B1" w:rsidRPr="00DC3DC8" w:rsidRDefault="00CE05B1" w:rsidP="007F076F">
      <w:pPr>
        <w:spacing w:after="0" w:line="240" w:lineRule="auto"/>
        <w:rPr>
          <w:rFonts w:ascii="Calibri" w:eastAsia="Calibri" w:hAnsi="Calibri" w:cs="Times New Roman"/>
        </w:rPr>
      </w:pPr>
    </w:p>
    <w:p w14:paraId="6E4CA5F6" w14:textId="44C03D0C" w:rsidR="007F076F" w:rsidRPr="00DC3DC8" w:rsidRDefault="007F076F" w:rsidP="007F076F">
      <w:pPr>
        <w:spacing w:after="0" w:line="240" w:lineRule="auto"/>
        <w:rPr>
          <w:rFonts w:ascii="Calibri" w:eastAsia="Calibri" w:hAnsi="Calibri" w:cs="Times New Roman"/>
        </w:rPr>
      </w:pP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r w:rsidRPr="00DC3DC8">
        <w:rPr>
          <w:rFonts w:ascii="Calibri" w:eastAsia="Calibri" w:hAnsi="Calibri" w:cs="Times New Roman"/>
        </w:rPr>
        <w:tab/>
      </w:r>
    </w:p>
    <w:p w14:paraId="0D87B46C" w14:textId="77777777" w:rsidR="007F076F" w:rsidRPr="00DC3DC8" w:rsidRDefault="007F076F" w:rsidP="007F076F">
      <w:pPr>
        <w:pStyle w:val="Odstavekseznama"/>
        <w:numPr>
          <w:ilvl w:val="0"/>
          <w:numId w:val="2"/>
        </w:numPr>
        <w:jc w:val="both"/>
        <w:rPr>
          <w:rFonts w:ascii="Calibri" w:eastAsia="Calibri" w:hAnsi="Calibri" w:cs="Times New Roman"/>
          <w:sz w:val="22"/>
          <w:szCs w:val="22"/>
        </w:rPr>
      </w:pPr>
      <w:r w:rsidRPr="00DC3DC8">
        <w:rPr>
          <w:rFonts w:ascii="Calibri" w:eastAsia="Calibri" w:hAnsi="Calibri" w:cs="Times New Roman"/>
          <w:sz w:val="22"/>
          <w:szCs w:val="22"/>
        </w:rPr>
        <w:br w:type="page"/>
      </w:r>
    </w:p>
    <w:p w14:paraId="2A2155FF" w14:textId="77777777" w:rsidR="007F076F" w:rsidRPr="00DC3DC8" w:rsidRDefault="007F076F" w:rsidP="007E1FDC">
      <w:pPr>
        <w:jc w:val="both"/>
        <w:rPr>
          <w:rFonts w:ascii="Calibri" w:eastAsia="Calibri" w:hAnsi="Calibri" w:cs="Times New Roman"/>
        </w:rPr>
        <w:sectPr w:rsidR="007F076F" w:rsidRPr="00DC3DC8"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188642B8" w14:textId="678C7C3B" w:rsidR="0098614B" w:rsidRPr="00DC3DC8" w:rsidRDefault="0098614B" w:rsidP="0098614B">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0" w:name="_Toc125701140"/>
      <w:bookmarkStart w:id="1" w:name="_Hlk113350167"/>
      <w:bookmarkStart w:id="2" w:name="_Toc106358478"/>
      <w:bookmarkStart w:id="3" w:name="_Hlk119860980"/>
      <w:r w:rsidRPr="00DC3DC8">
        <w:rPr>
          <w:rFonts w:ascii="Calibri" w:eastAsia="Times New Roman" w:hAnsi="Calibri" w:cs="Calibri"/>
          <w:b/>
          <w:color w:val="0070C0"/>
          <w:sz w:val="28"/>
          <w:szCs w:val="28"/>
        </w:rPr>
        <w:lastRenderedPageBreak/>
        <w:t>Ginekologija – uvedba možnosti obračuna dodatnih ločeno zaračunljivih materialov in storitev s 1. 1. 2023</w:t>
      </w:r>
      <w:bookmarkEnd w:id="0"/>
    </w:p>
    <w:p w14:paraId="1329F77A" w14:textId="71BA53F3" w:rsidR="0098614B" w:rsidRPr="00DC3DC8" w:rsidRDefault="0098614B" w:rsidP="0098614B">
      <w:pPr>
        <w:keepNext/>
        <w:keepLines/>
        <w:spacing w:after="0" w:line="240" w:lineRule="auto"/>
        <w:jc w:val="both"/>
        <w:rPr>
          <w:rFonts w:ascii="Calibri" w:eastAsia="Times New Roman" w:hAnsi="Calibri" w:cs="Calibri"/>
          <w:bCs/>
          <w:i/>
          <w:iCs/>
          <w:color w:val="0070C0"/>
        </w:rPr>
      </w:pPr>
    </w:p>
    <w:p w14:paraId="06B51F9A" w14:textId="77777777" w:rsidR="0098614B" w:rsidRPr="00DC3DC8" w:rsidRDefault="0098614B" w:rsidP="0098614B">
      <w:pPr>
        <w:spacing w:after="0" w:line="240" w:lineRule="auto"/>
        <w:jc w:val="both"/>
        <w:rPr>
          <w:rFonts w:ascii="Calibri" w:eastAsia="Times New Roman" w:hAnsi="Calibri" w:cs="Arial"/>
          <w:bCs/>
          <w:i/>
          <w:iCs/>
          <w:color w:val="0070C0"/>
          <w:lang w:eastAsia="sl-SI"/>
        </w:rPr>
      </w:pPr>
      <w:r w:rsidRPr="00DC3DC8">
        <w:rPr>
          <w:rFonts w:ascii="Calibri" w:eastAsia="Times New Roman" w:hAnsi="Calibri" w:cs="Arial"/>
          <w:bCs/>
          <w:i/>
          <w:iCs/>
          <w:color w:val="0070C0"/>
          <w:lang w:eastAsia="sl-SI"/>
        </w:rPr>
        <w:t>Vsem izvajalcem specialistične zunajbolnišnične dejavnosti ginekologije</w:t>
      </w:r>
    </w:p>
    <w:p w14:paraId="6D89FA16" w14:textId="77777777" w:rsidR="0098614B" w:rsidRPr="00DC3DC8" w:rsidRDefault="0098614B" w:rsidP="0098614B">
      <w:pPr>
        <w:spacing w:after="0" w:line="240" w:lineRule="auto"/>
        <w:jc w:val="both"/>
        <w:rPr>
          <w:rFonts w:ascii="Calibri" w:eastAsia="Times New Roman" w:hAnsi="Calibri" w:cs="Calibri"/>
          <w:lang w:eastAsia="sl-SI"/>
        </w:rPr>
      </w:pPr>
    </w:p>
    <w:p w14:paraId="614BFF19" w14:textId="77777777" w:rsidR="0098614B" w:rsidRPr="00DC3DC8" w:rsidRDefault="0098614B" w:rsidP="0098614B">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3B864B82" w14:textId="77777777" w:rsidR="0098614B" w:rsidRPr="00DC3DC8" w:rsidRDefault="0098614B" w:rsidP="0098614B">
      <w:pPr>
        <w:spacing w:after="0" w:line="240" w:lineRule="auto"/>
        <w:jc w:val="both"/>
        <w:rPr>
          <w:rFonts w:ascii="Calibri" w:eastAsia="Times New Roman" w:hAnsi="Calibri" w:cs="Calibri"/>
          <w:lang w:eastAsia="sl-SI"/>
        </w:rPr>
      </w:pPr>
    </w:p>
    <w:p w14:paraId="2A0B8382" w14:textId="77777777" w:rsidR="0098614B" w:rsidRPr="00DC3DC8" w:rsidRDefault="0098614B" w:rsidP="0098614B">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z Okrožnico ZAE 8/22 na podlagi Aneksa št. 1 k Splošnemu dogovoru za pogodbeno leto 2022 uvedel možnost obračuna</w:t>
      </w:r>
      <w:r w:rsidRPr="00DC3DC8">
        <w:t xml:space="preserve"> </w:t>
      </w:r>
      <w:r w:rsidRPr="00DC3DC8">
        <w:rPr>
          <w:rFonts w:ascii="Calibri" w:eastAsia="Times New Roman" w:hAnsi="Calibri" w:cs="Calibri"/>
          <w:lang w:eastAsia="sl-SI"/>
        </w:rPr>
        <w:t>preiskave Q0019 »HBS – Ag« (preiskava za dokaz virusnega hepatitisa)</w:t>
      </w:r>
      <w:r w:rsidRPr="00DC3DC8">
        <w:t xml:space="preserve"> </w:t>
      </w:r>
      <w:r w:rsidRPr="00DC3DC8">
        <w:rPr>
          <w:rFonts w:ascii="Calibri" w:eastAsia="Times New Roman" w:hAnsi="Calibri" w:cs="Calibri"/>
          <w:lang w:eastAsia="sl-SI"/>
        </w:rPr>
        <w:t>tudi v specialistično zunajbolnišnično dejavnost ginekologije (206 209).</w:t>
      </w:r>
    </w:p>
    <w:p w14:paraId="16C0DE6E" w14:textId="77777777" w:rsidR="0098614B" w:rsidRPr="00DC3DC8" w:rsidRDefault="0098614B" w:rsidP="0098614B">
      <w:pPr>
        <w:spacing w:after="0" w:line="240" w:lineRule="auto"/>
        <w:jc w:val="both"/>
        <w:rPr>
          <w:rFonts w:ascii="Calibri" w:eastAsia="Times New Roman" w:hAnsi="Calibri" w:cs="Calibri"/>
          <w:lang w:eastAsia="sl-SI"/>
        </w:rPr>
      </w:pPr>
    </w:p>
    <w:p w14:paraId="0021F164" w14:textId="77777777" w:rsidR="0098614B" w:rsidRPr="00DC3DC8" w:rsidRDefault="0098614B" w:rsidP="0098614B">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 tokratno okrožnico v dejavnost 206 209 »Ginekologija« dodatno uvajamo možnost obračuna naslednjih ločeno zaračunljivih materialov in storitev, skladno z navodili Zavoda in povezovalnimi šifranti:</w:t>
      </w:r>
    </w:p>
    <w:p w14:paraId="31362B1F"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Q0014 »ICT-nosečnice«,</w:t>
      </w:r>
    </w:p>
    <w:p w14:paraId="06211B09"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Q0015 »ICT-Specifikacija / gel«,</w:t>
      </w:r>
    </w:p>
    <w:p w14:paraId="3F16D0CE"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Q0016 »ICT-titri protiteles«,</w:t>
      </w:r>
    </w:p>
    <w:p w14:paraId="695552F0"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Q0017 »ICT-določitev antig.-1x«,</w:t>
      </w:r>
    </w:p>
    <w:p w14:paraId="095BB4CE"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Q0018 »ICT-ADCC test«,</w:t>
      </w:r>
    </w:p>
    <w:p w14:paraId="1E3400BB"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Q0020 »Tokspl-ELISA ali IFT IgG«,</w:t>
      </w:r>
    </w:p>
    <w:p w14:paraId="4C0CBAC2"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Q0021 »Tokspl-ELISA IgM« in</w:t>
      </w:r>
    </w:p>
    <w:p w14:paraId="1F65807E" w14:textId="77777777" w:rsidR="0098614B" w:rsidRPr="00DC3DC8" w:rsidRDefault="0098614B" w:rsidP="0098614B">
      <w:pPr>
        <w:numPr>
          <w:ilvl w:val="0"/>
          <w:numId w:val="16"/>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Q0022 »Tokspl-ELISA IgG avidnost«.</w:t>
      </w:r>
    </w:p>
    <w:p w14:paraId="13FF175A" w14:textId="77777777" w:rsidR="0098614B" w:rsidRPr="00DC3DC8" w:rsidRDefault="0098614B" w:rsidP="0098614B">
      <w:pPr>
        <w:spacing w:after="0" w:line="240" w:lineRule="auto"/>
        <w:jc w:val="both"/>
        <w:rPr>
          <w:rFonts w:ascii="Calibri" w:eastAsia="Times New Roman" w:hAnsi="Calibri" w:cs="Calibri"/>
          <w:lang w:eastAsia="sl-SI"/>
        </w:rPr>
      </w:pPr>
    </w:p>
    <w:p w14:paraId="3C2F864D" w14:textId="77777777" w:rsidR="0098614B" w:rsidRPr="00DC3DC8" w:rsidRDefault="0098614B" w:rsidP="0098614B">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color w:val="000000"/>
          <w:lang w:eastAsia="sl-SI"/>
        </w:rPr>
        <w:t>Navodilo za obračun</w:t>
      </w:r>
    </w:p>
    <w:p w14:paraId="06401111" w14:textId="77777777" w:rsidR="0098614B" w:rsidRPr="00DC3DC8" w:rsidRDefault="0098614B" w:rsidP="0098614B">
      <w:pPr>
        <w:spacing w:after="0" w:line="240" w:lineRule="auto"/>
        <w:jc w:val="both"/>
        <w:rPr>
          <w:rFonts w:ascii="Calibri" w:eastAsia="Times New Roman" w:hAnsi="Calibri" w:cs="Calibri"/>
          <w:lang w:eastAsia="sl-SI"/>
        </w:rPr>
      </w:pPr>
    </w:p>
    <w:p w14:paraId="62DB6B87" w14:textId="77777777" w:rsidR="0098614B" w:rsidRPr="00DC3DC8" w:rsidRDefault="0098614B" w:rsidP="0098614B">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Skladno z navedenim dopolnjujemo naslednja povezovalna šifranta (označeno s krepko pisavo):</w:t>
      </w:r>
    </w:p>
    <w:p w14:paraId="16B8F648" w14:textId="77777777" w:rsidR="0098614B" w:rsidRPr="00DC3DC8" w:rsidRDefault="0098614B" w:rsidP="0098614B">
      <w:pPr>
        <w:spacing w:after="0" w:line="240" w:lineRule="auto"/>
        <w:jc w:val="both"/>
        <w:rPr>
          <w:rFonts w:ascii="Calibri" w:eastAsia="Times New Roman" w:hAnsi="Calibri" w:cs="Calibri"/>
          <w:lang w:eastAsia="sl-SI"/>
        </w:rPr>
      </w:pPr>
    </w:p>
    <w:p w14:paraId="50CCF2A2" w14:textId="77777777" w:rsidR="0098614B" w:rsidRPr="00DC3DC8" w:rsidRDefault="0098614B" w:rsidP="0098614B">
      <w:pPr>
        <w:numPr>
          <w:ilvl w:val="0"/>
          <w:numId w:val="16"/>
        </w:numPr>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povezovalni šifrant K1 »Vrste zdravstvene dejavnosti in storitve za obračun«:</w:t>
      </w:r>
    </w:p>
    <w:p w14:paraId="61851FD2" w14:textId="77777777" w:rsidR="0098614B" w:rsidRPr="00DC3DC8" w:rsidRDefault="0098614B" w:rsidP="0098614B">
      <w:pPr>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0"/>
        <w:gridCol w:w="686"/>
        <w:gridCol w:w="4348"/>
        <w:gridCol w:w="2887"/>
      </w:tblGrid>
      <w:tr w:rsidR="0098614B" w:rsidRPr="00DC3DC8" w14:paraId="590C7E42" w14:textId="77777777" w:rsidTr="0024223A">
        <w:trPr>
          <w:trHeight w:val="227"/>
        </w:trPr>
        <w:tc>
          <w:tcPr>
            <w:tcW w:w="501" w:type="pct"/>
            <w:shd w:val="clear" w:color="auto" w:fill="auto"/>
          </w:tcPr>
          <w:p w14:paraId="4B229581" w14:textId="77777777" w:rsidR="0098614B" w:rsidRPr="00DC3DC8" w:rsidRDefault="0098614B" w:rsidP="0098614B">
            <w:pPr>
              <w:spacing w:after="0" w:line="240" w:lineRule="auto"/>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Q86.220</w:t>
            </w:r>
          </w:p>
        </w:tc>
        <w:tc>
          <w:tcPr>
            <w:tcW w:w="2964" w:type="pct"/>
            <w:gridSpan w:val="3"/>
            <w:shd w:val="clear" w:color="auto" w:fill="auto"/>
          </w:tcPr>
          <w:p w14:paraId="08CE4404" w14:textId="77777777" w:rsidR="0098614B" w:rsidRPr="00DC3DC8" w:rsidRDefault="0098614B" w:rsidP="0098614B">
            <w:pPr>
              <w:spacing w:after="0" w:line="240" w:lineRule="auto"/>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Specialistična zunajbolnišnična zdravstvena dejavnost</w:t>
            </w:r>
          </w:p>
        </w:tc>
        <w:tc>
          <w:tcPr>
            <w:tcW w:w="1535" w:type="pct"/>
            <w:shd w:val="clear" w:color="auto" w:fill="auto"/>
          </w:tcPr>
          <w:p w14:paraId="6C14123C" w14:textId="77777777" w:rsidR="0098614B" w:rsidRPr="00DC3DC8" w:rsidRDefault="0098614B" w:rsidP="0098614B">
            <w:pPr>
              <w:spacing w:after="0" w:line="240" w:lineRule="auto"/>
              <w:jc w:val="center"/>
              <w:rPr>
                <w:rFonts w:ascii="Calibri" w:eastAsia="Times New Roman" w:hAnsi="Calibri" w:cs="Calibri"/>
                <w:bCs/>
                <w:sz w:val="20"/>
                <w:szCs w:val="20"/>
                <w:lang w:eastAsia="sl-SI"/>
              </w:rPr>
            </w:pPr>
          </w:p>
        </w:tc>
      </w:tr>
      <w:tr w:rsidR="0098614B" w:rsidRPr="00DC3DC8" w14:paraId="348B9A68" w14:textId="77777777" w:rsidTr="0024223A">
        <w:trPr>
          <w:trHeight w:val="239"/>
        </w:trPr>
        <w:tc>
          <w:tcPr>
            <w:tcW w:w="501" w:type="pct"/>
            <w:shd w:val="clear" w:color="auto" w:fill="auto"/>
            <w:vAlign w:val="bottom"/>
          </w:tcPr>
          <w:p w14:paraId="4F548A8F" w14:textId="77777777" w:rsidR="0098614B" w:rsidRPr="00DC3DC8" w:rsidRDefault="0098614B" w:rsidP="0098614B">
            <w:pPr>
              <w:spacing w:after="0" w:line="240" w:lineRule="auto"/>
              <w:rPr>
                <w:rFonts w:ascii="Calibri" w:eastAsia="Times New Roman" w:hAnsi="Calibri" w:cs="Calibri"/>
                <w:sz w:val="20"/>
                <w:szCs w:val="20"/>
                <w:lang w:eastAsia="sl-SI"/>
              </w:rPr>
            </w:pPr>
          </w:p>
        </w:tc>
        <w:tc>
          <w:tcPr>
            <w:tcW w:w="287" w:type="pct"/>
            <w:shd w:val="clear" w:color="auto" w:fill="auto"/>
          </w:tcPr>
          <w:p w14:paraId="79546EF5"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206</w:t>
            </w:r>
          </w:p>
        </w:tc>
        <w:tc>
          <w:tcPr>
            <w:tcW w:w="2677" w:type="pct"/>
            <w:gridSpan w:val="2"/>
            <w:shd w:val="clear" w:color="auto" w:fill="auto"/>
          </w:tcPr>
          <w:p w14:paraId="37319322"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Ginekologija in porodništvo v specialistični zunajbolnišnični dejavnosti</w:t>
            </w:r>
          </w:p>
        </w:tc>
        <w:tc>
          <w:tcPr>
            <w:tcW w:w="1535" w:type="pct"/>
            <w:shd w:val="clear" w:color="auto" w:fill="auto"/>
            <w:vAlign w:val="bottom"/>
          </w:tcPr>
          <w:p w14:paraId="03E64903" w14:textId="77777777" w:rsidR="0098614B" w:rsidRPr="00DC3DC8" w:rsidRDefault="0098614B" w:rsidP="0098614B">
            <w:pPr>
              <w:spacing w:after="0" w:line="240" w:lineRule="auto"/>
              <w:rPr>
                <w:rFonts w:ascii="Calibri" w:eastAsia="Times New Roman" w:hAnsi="Calibri" w:cs="Calibri"/>
                <w:b/>
                <w:sz w:val="20"/>
                <w:szCs w:val="20"/>
                <w:lang w:eastAsia="sl-SI"/>
              </w:rPr>
            </w:pPr>
          </w:p>
        </w:tc>
      </w:tr>
      <w:tr w:rsidR="0098614B" w:rsidRPr="00DC3DC8" w14:paraId="5DA1B609" w14:textId="77777777" w:rsidTr="0024223A">
        <w:trPr>
          <w:trHeight w:val="146"/>
        </w:trPr>
        <w:tc>
          <w:tcPr>
            <w:tcW w:w="501" w:type="pct"/>
            <w:shd w:val="clear" w:color="auto" w:fill="auto"/>
            <w:vAlign w:val="bottom"/>
          </w:tcPr>
          <w:p w14:paraId="6AAF68F6" w14:textId="77777777" w:rsidR="0098614B" w:rsidRPr="00DC3DC8" w:rsidRDefault="0098614B" w:rsidP="0098614B">
            <w:pPr>
              <w:spacing w:after="0" w:line="240" w:lineRule="auto"/>
              <w:rPr>
                <w:rFonts w:ascii="Calibri" w:eastAsia="Times New Roman" w:hAnsi="Calibri" w:cs="Calibri"/>
                <w:sz w:val="20"/>
                <w:szCs w:val="20"/>
                <w:lang w:eastAsia="sl-SI"/>
              </w:rPr>
            </w:pPr>
          </w:p>
        </w:tc>
        <w:tc>
          <w:tcPr>
            <w:tcW w:w="287" w:type="pct"/>
            <w:shd w:val="clear" w:color="auto" w:fill="auto"/>
            <w:vAlign w:val="bottom"/>
          </w:tcPr>
          <w:p w14:paraId="665A95C2" w14:textId="77777777" w:rsidR="0098614B" w:rsidRPr="00DC3DC8" w:rsidRDefault="0098614B" w:rsidP="0098614B">
            <w:pPr>
              <w:spacing w:after="0" w:line="240" w:lineRule="auto"/>
              <w:jc w:val="right"/>
              <w:rPr>
                <w:rFonts w:ascii="Calibri" w:eastAsia="Times New Roman" w:hAnsi="Calibri" w:cs="Calibri"/>
                <w:sz w:val="20"/>
                <w:szCs w:val="20"/>
                <w:lang w:eastAsia="sl-SI"/>
              </w:rPr>
            </w:pPr>
          </w:p>
        </w:tc>
        <w:tc>
          <w:tcPr>
            <w:tcW w:w="365" w:type="pct"/>
            <w:shd w:val="clear" w:color="auto" w:fill="auto"/>
            <w:vAlign w:val="bottom"/>
          </w:tcPr>
          <w:p w14:paraId="3C301F00" w14:textId="77777777" w:rsidR="0098614B" w:rsidRPr="00DC3DC8" w:rsidRDefault="0098614B" w:rsidP="0098614B">
            <w:pPr>
              <w:spacing w:after="0" w:line="240" w:lineRule="auto"/>
              <w:jc w:val="right"/>
              <w:rPr>
                <w:rFonts w:ascii="Calibri" w:eastAsia="Times New Roman" w:hAnsi="Calibri" w:cs="Arial"/>
                <w:sz w:val="20"/>
                <w:szCs w:val="18"/>
                <w:lang w:eastAsia="sl-SI"/>
              </w:rPr>
            </w:pPr>
            <w:r w:rsidRPr="00DC3DC8">
              <w:rPr>
                <w:rFonts w:ascii="Calibri" w:eastAsia="Times New Roman" w:hAnsi="Calibri" w:cs="Arial"/>
                <w:sz w:val="20"/>
                <w:szCs w:val="18"/>
                <w:lang w:eastAsia="sl-SI"/>
              </w:rPr>
              <w:t>209</w:t>
            </w:r>
          </w:p>
        </w:tc>
        <w:tc>
          <w:tcPr>
            <w:tcW w:w="2312" w:type="pct"/>
            <w:shd w:val="clear" w:color="auto" w:fill="auto"/>
            <w:vAlign w:val="bottom"/>
          </w:tcPr>
          <w:p w14:paraId="1D220F94"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Ginekologija</w:t>
            </w:r>
          </w:p>
        </w:tc>
        <w:tc>
          <w:tcPr>
            <w:tcW w:w="1535" w:type="pct"/>
            <w:shd w:val="clear" w:color="auto" w:fill="auto"/>
            <w:vAlign w:val="bottom"/>
          </w:tcPr>
          <w:p w14:paraId="3EBC6CAB" w14:textId="1151B0BF" w:rsidR="0098614B" w:rsidRPr="00DC3DC8" w:rsidRDefault="0098614B" w:rsidP="0098614B">
            <w:pPr>
              <w:spacing w:after="0" w:line="240" w:lineRule="auto"/>
              <w:jc w:val="center"/>
              <w:rPr>
                <w:rFonts w:ascii="Calibri" w:eastAsia="Times New Roman" w:hAnsi="Calibri" w:cs="Calibri"/>
                <w:b/>
                <w:sz w:val="20"/>
                <w:szCs w:val="20"/>
                <w:lang w:eastAsia="sl-SI"/>
              </w:rPr>
            </w:pPr>
            <w:r w:rsidRPr="00DC3DC8">
              <w:rPr>
                <w:rFonts w:ascii="Calibri" w:eastAsia="Times New Roman" w:hAnsi="Calibri" w:cs="Calibri"/>
                <w:b/>
                <w:sz w:val="20"/>
                <w:szCs w:val="20"/>
                <w:lang w:eastAsia="sl-SI"/>
              </w:rPr>
              <w:t xml:space="preserve">Q0014 </w:t>
            </w:r>
            <w:r w:rsidR="00AD3995" w:rsidRPr="00DC3DC8">
              <w:rPr>
                <w:rFonts w:ascii="Calibri" w:eastAsia="Times New Roman" w:hAnsi="Calibri" w:cs="Calibri"/>
                <w:b/>
                <w:sz w:val="20"/>
                <w:szCs w:val="20"/>
                <w:lang w:eastAsia="sl-SI"/>
              </w:rPr>
              <w:t xml:space="preserve">- </w:t>
            </w:r>
            <w:r w:rsidRPr="00DC3DC8">
              <w:rPr>
                <w:rFonts w:ascii="Calibri" w:eastAsia="Times New Roman" w:hAnsi="Calibri" w:cs="Calibri"/>
                <w:b/>
                <w:sz w:val="20"/>
                <w:szCs w:val="20"/>
                <w:lang w:eastAsia="sl-SI"/>
              </w:rPr>
              <w:t>Q0018, Q0020 -</w:t>
            </w:r>
            <w:r w:rsidR="00712F7B" w:rsidRPr="00DC3DC8">
              <w:rPr>
                <w:rFonts w:ascii="Calibri" w:eastAsia="Times New Roman" w:hAnsi="Calibri" w:cs="Calibri"/>
                <w:b/>
                <w:sz w:val="20"/>
                <w:szCs w:val="20"/>
                <w:lang w:eastAsia="sl-SI"/>
              </w:rPr>
              <w:t xml:space="preserve"> </w:t>
            </w:r>
            <w:r w:rsidRPr="00DC3DC8">
              <w:rPr>
                <w:rFonts w:ascii="Calibri" w:eastAsia="Times New Roman" w:hAnsi="Calibri" w:cs="Calibri"/>
                <w:b/>
                <w:sz w:val="20"/>
                <w:szCs w:val="20"/>
                <w:lang w:eastAsia="sl-SI"/>
              </w:rPr>
              <w:t>Q0022</w:t>
            </w:r>
          </w:p>
        </w:tc>
      </w:tr>
    </w:tbl>
    <w:p w14:paraId="1FD14FE9" w14:textId="77777777" w:rsidR="0098614B" w:rsidRPr="00DC3DC8" w:rsidRDefault="0098614B" w:rsidP="0098614B">
      <w:pPr>
        <w:spacing w:after="0" w:line="240" w:lineRule="auto"/>
        <w:jc w:val="both"/>
        <w:rPr>
          <w:rFonts w:ascii="Calibri" w:eastAsia="Times New Roman" w:hAnsi="Calibri" w:cs="Calibri"/>
          <w:lang w:eastAsia="sl-SI"/>
        </w:rPr>
      </w:pPr>
    </w:p>
    <w:p w14:paraId="058C499D" w14:textId="4BA8FC26" w:rsidR="0098614B" w:rsidRPr="00DC3DC8" w:rsidRDefault="0098614B" w:rsidP="008E38A4">
      <w:pPr>
        <w:numPr>
          <w:ilvl w:val="0"/>
          <w:numId w:val="16"/>
        </w:numPr>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Povezovalni šifrant K2 »VZD s storitvami glede na vrsto dokumenta po strukturi«:</w:t>
      </w:r>
    </w:p>
    <w:p w14:paraId="2CDE2249" w14:textId="77777777" w:rsidR="008E38A4" w:rsidRPr="00DC3DC8" w:rsidRDefault="008E38A4" w:rsidP="008E38A4">
      <w:pPr>
        <w:spacing w:after="0" w:line="240" w:lineRule="auto"/>
        <w:ind w:left="357"/>
        <w:contextualSpacing/>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45"/>
        <w:gridCol w:w="545"/>
        <w:gridCol w:w="4470"/>
        <w:gridCol w:w="2887"/>
      </w:tblGrid>
      <w:tr w:rsidR="0098614B" w:rsidRPr="00DC3DC8" w14:paraId="556F13D3" w14:textId="77777777" w:rsidTr="0024223A">
        <w:trPr>
          <w:trHeight w:val="335"/>
        </w:trPr>
        <w:tc>
          <w:tcPr>
            <w:tcW w:w="508" w:type="pct"/>
            <w:shd w:val="clear" w:color="auto" w:fill="auto"/>
            <w:vAlign w:val="bottom"/>
          </w:tcPr>
          <w:p w14:paraId="71F0ADE6" w14:textId="77777777" w:rsidR="0098614B" w:rsidRPr="00DC3DC8" w:rsidRDefault="0098614B" w:rsidP="0098614B">
            <w:pPr>
              <w:spacing w:after="0" w:line="240" w:lineRule="auto"/>
              <w:rPr>
                <w:rFonts w:ascii="Calibri" w:eastAsia="Times New Roman" w:hAnsi="Calibri" w:cs="Arial"/>
                <w:b/>
                <w:sz w:val="20"/>
                <w:lang w:eastAsia="sl-SI"/>
              </w:rPr>
            </w:pPr>
          </w:p>
        </w:tc>
        <w:tc>
          <w:tcPr>
            <w:tcW w:w="2957" w:type="pct"/>
            <w:gridSpan w:val="3"/>
            <w:shd w:val="clear" w:color="auto" w:fill="auto"/>
            <w:vAlign w:val="bottom"/>
          </w:tcPr>
          <w:p w14:paraId="394C54A7" w14:textId="77777777" w:rsidR="0098614B" w:rsidRPr="00DC3DC8" w:rsidRDefault="0098614B" w:rsidP="0098614B">
            <w:pPr>
              <w:spacing w:after="0" w:line="240" w:lineRule="auto"/>
              <w:rPr>
                <w:rFonts w:ascii="Calibri" w:eastAsia="Times New Roman" w:hAnsi="Calibri" w:cs="Arial"/>
                <w:b/>
                <w:sz w:val="20"/>
                <w:lang w:eastAsia="sl-SI"/>
              </w:rPr>
            </w:pPr>
          </w:p>
        </w:tc>
        <w:tc>
          <w:tcPr>
            <w:tcW w:w="1535" w:type="pct"/>
            <w:vAlign w:val="center"/>
          </w:tcPr>
          <w:p w14:paraId="40586D80" w14:textId="77777777" w:rsidR="0098614B" w:rsidRPr="00DC3DC8" w:rsidRDefault="0098614B" w:rsidP="0098614B">
            <w:pPr>
              <w:spacing w:after="0" w:line="240" w:lineRule="auto"/>
              <w:ind w:right="-74"/>
              <w:jc w:val="center"/>
              <w:rPr>
                <w:rFonts w:ascii="Calibri" w:eastAsia="Times New Roman" w:hAnsi="Calibri" w:cs="Arial"/>
                <w:i/>
                <w:sz w:val="20"/>
                <w:szCs w:val="18"/>
                <w:lang w:eastAsia="sl-SI"/>
              </w:rPr>
            </w:pPr>
            <w:r w:rsidRPr="00DC3DC8">
              <w:rPr>
                <w:rFonts w:ascii="Calibri" w:eastAsia="Times New Roman" w:hAnsi="Calibri" w:cs="Arial"/>
                <w:i/>
                <w:sz w:val="20"/>
                <w:szCs w:val="18"/>
                <w:lang w:eastAsia="sl-SI"/>
              </w:rPr>
              <w:t>VD 4-12 in 15-16</w:t>
            </w:r>
          </w:p>
          <w:p w14:paraId="1B6D9162" w14:textId="77777777" w:rsidR="0098614B" w:rsidRPr="00DC3DC8" w:rsidRDefault="0098614B" w:rsidP="0098614B">
            <w:pPr>
              <w:spacing w:after="0" w:line="240" w:lineRule="auto"/>
              <w:jc w:val="center"/>
              <w:rPr>
                <w:rFonts w:ascii="Calibri" w:eastAsia="Times New Roman" w:hAnsi="Calibri" w:cs="Arial"/>
                <w:b/>
                <w:i/>
                <w:sz w:val="20"/>
                <w:szCs w:val="18"/>
                <w:lang w:eastAsia="sl-SI"/>
              </w:rPr>
            </w:pPr>
            <w:r w:rsidRPr="00DC3DC8">
              <w:rPr>
                <w:rFonts w:ascii="Calibri" w:eastAsia="Times New Roman" w:hAnsi="Calibri" w:cs="Arial"/>
                <w:i/>
                <w:sz w:val="20"/>
                <w:szCs w:val="18"/>
                <w:lang w:eastAsia="sl-SI"/>
              </w:rPr>
              <w:t>Obravnava  Opr.stor.</w:t>
            </w:r>
          </w:p>
        </w:tc>
      </w:tr>
      <w:tr w:rsidR="0098614B" w:rsidRPr="00DC3DC8" w14:paraId="47628B7A" w14:textId="77777777" w:rsidTr="0024223A">
        <w:trPr>
          <w:trHeight w:val="259"/>
        </w:trPr>
        <w:tc>
          <w:tcPr>
            <w:tcW w:w="508" w:type="pct"/>
            <w:shd w:val="clear" w:color="auto" w:fill="auto"/>
            <w:vAlign w:val="bottom"/>
          </w:tcPr>
          <w:p w14:paraId="21585A79"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Q86.220</w:t>
            </w:r>
          </w:p>
        </w:tc>
        <w:tc>
          <w:tcPr>
            <w:tcW w:w="2957" w:type="pct"/>
            <w:gridSpan w:val="3"/>
            <w:shd w:val="clear" w:color="auto" w:fill="auto"/>
            <w:vAlign w:val="bottom"/>
          </w:tcPr>
          <w:p w14:paraId="55939F1C"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Calibri"/>
                <w:sz w:val="20"/>
                <w:szCs w:val="20"/>
                <w:lang w:eastAsia="sl-SI"/>
              </w:rPr>
              <w:t>Specialistična zunajbolnišnična zdravstvena dejavnost</w:t>
            </w:r>
          </w:p>
        </w:tc>
        <w:tc>
          <w:tcPr>
            <w:tcW w:w="1535" w:type="pct"/>
          </w:tcPr>
          <w:p w14:paraId="1B4BD622" w14:textId="77777777" w:rsidR="0098614B" w:rsidRPr="00DC3DC8" w:rsidRDefault="0098614B" w:rsidP="0098614B">
            <w:pPr>
              <w:spacing w:after="0" w:line="240" w:lineRule="auto"/>
              <w:rPr>
                <w:rFonts w:ascii="Calibri" w:eastAsia="Times New Roman" w:hAnsi="Calibri" w:cs="Arial"/>
                <w:sz w:val="20"/>
                <w:szCs w:val="18"/>
                <w:lang w:eastAsia="sl-SI"/>
              </w:rPr>
            </w:pPr>
          </w:p>
        </w:tc>
      </w:tr>
      <w:tr w:rsidR="0098614B" w:rsidRPr="00DC3DC8" w14:paraId="0BAEFE37" w14:textId="77777777" w:rsidTr="0024223A">
        <w:tc>
          <w:tcPr>
            <w:tcW w:w="508" w:type="pct"/>
            <w:shd w:val="clear" w:color="auto" w:fill="auto"/>
            <w:vAlign w:val="bottom"/>
          </w:tcPr>
          <w:p w14:paraId="2A8D98D8"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 </w:t>
            </w:r>
          </w:p>
        </w:tc>
        <w:tc>
          <w:tcPr>
            <w:tcW w:w="290" w:type="pct"/>
            <w:shd w:val="clear" w:color="auto" w:fill="auto"/>
          </w:tcPr>
          <w:p w14:paraId="152D61ED"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206</w:t>
            </w:r>
          </w:p>
        </w:tc>
        <w:tc>
          <w:tcPr>
            <w:tcW w:w="2667" w:type="pct"/>
            <w:gridSpan w:val="2"/>
            <w:shd w:val="clear" w:color="auto" w:fill="auto"/>
          </w:tcPr>
          <w:p w14:paraId="09127135"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Ginekologija in porodništvo v specialistični zunajbolnišnični dejavnosti</w:t>
            </w:r>
          </w:p>
        </w:tc>
        <w:tc>
          <w:tcPr>
            <w:tcW w:w="1535" w:type="pct"/>
          </w:tcPr>
          <w:p w14:paraId="238DA2E5" w14:textId="77777777" w:rsidR="0098614B" w:rsidRPr="00DC3DC8" w:rsidRDefault="0098614B" w:rsidP="0098614B">
            <w:pPr>
              <w:spacing w:after="0" w:line="240" w:lineRule="auto"/>
              <w:rPr>
                <w:rFonts w:ascii="Calibri" w:eastAsia="Times New Roman" w:hAnsi="Calibri" w:cs="Arial"/>
                <w:sz w:val="20"/>
                <w:szCs w:val="18"/>
                <w:lang w:eastAsia="sl-SI"/>
              </w:rPr>
            </w:pPr>
          </w:p>
        </w:tc>
      </w:tr>
      <w:tr w:rsidR="0098614B" w:rsidRPr="00DC3DC8" w14:paraId="2F0F21DD" w14:textId="77777777" w:rsidTr="0024223A">
        <w:tc>
          <w:tcPr>
            <w:tcW w:w="508" w:type="pct"/>
            <w:shd w:val="clear" w:color="auto" w:fill="auto"/>
            <w:vAlign w:val="bottom"/>
          </w:tcPr>
          <w:p w14:paraId="535B4159" w14:textId="77777777" w:rsidR="0098614B" w:rsidRPr="00DC3DC8" w:rsidRDefault="0098614B" w:rsidP="0098614B">
            <w:pPr>
              <w:spacing w:after="0" w:line="240" w:lineRule="auto"/>
              <w:rPr>
                <w:rFonts w:ascii="Calibri" w:eastAsia="Times New Roman" w:hAnsi="Calibri" w:cs="Arial"/>
                <w:sz w:val="20"/>
                <w:szCs w:val="18"/>
                <w:lang w:eastAsia="sl-SI"/>
              </w:rPr>
            </w:pPr>
          </w:p>
        </w:tc>
        <w:tc>
          <w:tcPr>
            <w:tcW w:w="290" w:type="pct"/>
            <w:shd w:val="clear" w:color="auto" w:fill="auto"/>
            <w:vAlign w:val="bottom"/>
          </w:tcPr>
          <w:p w14:paraId="6EE6C41A" w14:textId="77777777" w:rsidR="0098614B" w:rsidRPr="00DC3DC8" w:rsidRDefault="0098614B" w:rsidP="0098614B">
            <w:pPr>
              <w:spacing w:after="0" w:line="240" w:lineRule="auto"/>
              <w:rPr>
                <w:rFonts w:ascii="Calibri" w:eastAsia="Times New Roman" w:hAnsi="Calibri" w:cs="Arial"/>
                <w:sz w:val="20"/>
                <w:szCs w:val="18"/>
                <w:lang w:eastAsia="sl-SI"/>
              </w:rPr>
            </w:pPr>
          </w:p>
        </w:tc>
        <w:tc>
          <w:tcPr>
            <w:tcW w:w="290" w:type="pct"/>
            <w:shd w:val="clear" w:color="auto" w:fill="auto"/>
            <w:vAlign w:val="bottom"/>
          </w:tcPr>
          <w:p w14:paraId="25FE124E" w14:textId="77777777" w:rsidR="0098614B" w:rsidRPr="00DC3DC8" w:rsidRDefault="0098614B" w:rsidP="0098614B">
            <w:pPr>
              <w:spacing w:after="0" w:line="240" w:lineRule="auto"/>
              <w:jc w:val="right"/>
              <w:rPr>
                <w:rFonts w:ascii="Calibri" w:eastAsia="Times New Roman" w:hAnsi="Calibri" w:cs="Arial"/>
                <w:sz w:val="20"/>
                <w:szCs w:val="18"/>
                <w:lang w:eastAsia="sl-SI"/>
              </w:rPr>
            </w:pPr>
            <w:r w:rsidRPr="00DC3DC8">
              <w:rPr>
                <w:rFonts w:ascii="Calibri" w:eastAsia="Times New Roman" w:hAnsi="Calibri" w:cs="Calibri"/>
                <w:sz w:val="20"/>
                <w:szCs w:val="20"/>
                <w:lang w:eastAsia="sl-SI"/>
              </w:rPr>
              <w:t>209</w:t>
            </w:r>
          </w:p>
        </w:tc>
        <w:tc>
          <w:tcPr>
            <w:tcW w:w="2377" w:type="pct"/>
            <w:shd w:val="clear" w:color="auto" w:fill="auto"/>
            <w:vAlign w:val="bottom"/>
          </w:tcPr>
          <w:p w14:paraId="1F1113BA" w14:textId="77777777" w:rsidR="0098614B" w:rsidRPr="00DC3DC8" w:rsidRDefault="0098614B" w:rsidP="0098614B">
            <w:pPr>
              <w:spacing w:after="0" w:line="240" w:lineRule="auto"/>
              <w:rPr>
                <w:rFonts w:ascii="Calibri" w:eastAsia="Times New Roman" w:hAnsi="Calibri" w:cs="Arial"/>
                <w:sz w:val="20"/>
                <w:szCs w:val="18"/>
                <w:lang w:eastAsia="sl-SI"/>
              </w:rPr>
            </w:pPr>
            <w:r w:rsidRPr="00DC3DC8">
              <w:rPr>
                <w:rFonts w:ascii="Calibri" w:eastAsia="Times New Roman" w:hAnsi="Calibri" w:cs="Arial"/>
                <w:sz w:val="20"/>
                <w:szCs w:val="18"/>
                <w:lang w:eastAsia="sl-SI"/>
              </w:rPr>
              <w:t>Ginekologija</w:t>
            </w:r>
          </w:p>
        </w:tc>
        <w:tc>
          <w:tcPr>
            <w:tcW w:w="1535" w:type="pct"/>
            <w:shd w:val="clear" w:color="auto" w:fill="auto"/>
          </w:tcPr>
          <w:p w14:paraId="6D2E94CB" w14:textId="5EA6A9E1" w:rsidR="0098614B" w:rsidRPr="00DC3DC8" w:rsidRDefault="0098614B" w:rsidP="0098614B">
            <w:pPr>
              <w:spacing w:after="0" w:line="240" w:lineRule="auto"/>
              <w:jc w:val="center"/>
              <w:rPr>
                <w:rFonts w:ascii="Calibri" w:eastAsia="Times New Roman" w:hAnsi="Calibri" w:cs="Calibri"/>
                <w:b/>
                <w:sz w:val="20"/>
                <w:szCs w:val="20"/>
                <w:lang w:eastAsia="sl-SI"/>
              </w:rPr>
            </w:pPr>
            <w:r w:rsidRPr="00DC3DC8">
              <w:rPr>
                <w:rFonts w:ascii="Calibri" w:eastAsia="Times New Roman" w:hAnsi="Calibri" w:cs="Calibri"/>
                <w:b/>
                <w:sz w:val="20"/>
                <w:szCs w:val="20"/>
                <w:lang w:eastAsia="sl-SI"/>
              </w:rPr>
              <w:t xml:space="preserve">Q0014 </w:t>
            </w:r>
            <w:r w:rsidR="00AD3995" w:rsidRPr="00DC3DC8">
              <w:rPr>
                <w:rFonts w:ascii="Calibri" w:eastAsia="Times New Roman" w:hAnsi="Calibri" w:cs="Calibri"/>
                <w:b/>
                <w:sz w:val="20"/>
                <w:szCs w:val="20"/>
                <w:lang w:eastAsia="sl-SI"/>
              </w:rPr>
              <w:t xml:space="preserve">- </w:t>
            </w:r>
            <w:r w:rsidRPr="00DC3DC8">
              <w:rPr>
                <w:rFonts w:ascii="Calibri" w:eastAsia="Times New Roman" w:hAnsi="Calibri" w:cs="Calibri"/>
                <w:b/>
                <w:sz w:val="20"/>
                <w:szCs w:val="20"/>
                <w:lang w:eastAsia="sl-SI"/>
              </w:rPr>
              <w:t>Q0018, Q0020 -</w:t>
            </w:r>
            <w:r w:rsidR="00712F7B" w:rsidRPr="00DC3DC8">
              <w:rPr>
                <w:rFonts w:ascii="Calibri" w:eastAsia="Times New Roman" w:hAnsi="Calibri" w:cs="Calibri"/>
                <w:b/>
                <w:sz w:val="20"/>
                <w:szCs w:val="20"/>
                <w:lang w:eastAsia="sl-SI"/>
              </w:rPr>
              <w:t xml:space="preserve"> </w:t>
            </w:r>
            <w:r w:rsidRPr="00DC3DC8">
              <w:rPr>
                <w:rFonts w:ascii="Calibri" w:eastAsia="Times New Roman" w:hAnsi="Calibri" w:cs="Calibri"/>
                <w:b/>
                <w:sz w:val="20"/>
                <w:szCs w:val="20"/>
                <w:lang w:eastAsia="sl-SI"/>
              </w:rPr>
              <w:t>Q0022</w:t>
            </w:r>
          </w:p>
        </w:tc>
      </w:tr>
    </w:tbl>
    <w:p w14:paraId="7292E756" w14:textId="77777777" w:rsidR="0098614B" w:rsidRPr="00DC3DC8" w:rsidRDefault="0098614B" w:rsidP="0098614B">
      <w:pPr>
        <w:spacing w:after="0" w:line="240" w:lineRule="auto"/>
        <w:jc w:val="both"/>
        <w:rPr>
          <w:rFonts w:ascii="Calibri" w:eastAsia="Calibri" w:hAnsi="Calibri" w:cs="Arial"/>
          <w:color w:val="000000"/>
        </w:rPr>
      </w:pPr>
    </w:p>
    <w:p w14:paraId="08C1B619" w14:textId="77777777" w:rsidR="0098614B" w:rsidRPr="00DC3DC8" w:rsidRDefault="0098614B" w:rsidP="0098614B">
      <w:pPr>
        <w:spacing w:after="0" w:line="240" w:lineRule="auto"/>
        <w:jc w:val="both"/>
        <w:rPr>
          <w:rFonts w:ascii="Calibri" w:eastAsia="Calibri" w:hAnsi="Calibri" w:cs="Arial"/>
          <w:color w:val="000000"/>
        </w:rPr>
      </w:pPr>
    </w:p>
    <w:p w14:paraId="0A738745" w14:textId="77777777" w:rsidR="0098614B" w:rsidRPr="00DC3DC8" w:rsidRDefault="0098614B" w:rsidP="0098614B">
      <w:pPr>
        <w:autoSpaceDE w:val="0"/>
        <w:autoSpaceDN w:val="0"/>
        <w:adjustRightInd w:val="0"/>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Spremembe veljajo za storitve, opravljene od 1. 1. 2023 dalje.</w:t>
      </w:r>
    </w:p>
    <w:p w14:paraId="0D191FA9" w14:textId="77777777" w:rsidR="0098614B" w:rsidRPr="00DC3DC8" w:rsidRDefault="0098614B" w:rsidP="0098614B">
      <w:pPr>
        <w:autoSpaceDE w:val="0"/>
        <w:autoSpaceDN w:val="0"/>
        <w:adjustRightInd w:val="0"/>
        <w:spacing w:after="0" w:line="240" w:lineRule="auto"/>
        <w:jc w:val="both"/>
        <w:rPr>
          <w:rFonts w:ascii="Calibri" w:eastAsia="Times New Roman" w:hAnsi="Calibri" w:cs="Arial"/>
          <w:lang w:eastAsia="sl-SI"/>
        </w:rPr>
      </w:pPr>
    </w:p>
    <w:p w14:paraId="17E055B6" w14:textId="77777777" w:rsidR="0098614B" w:rsidRPr="00DC3DC8" w:rsidRDefault="0098614B" w:rsidP="0098614B">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Kontaktna oseba za vsebinska vprašanja:</w:t>
      </w:r>
    </w:p>
    <w:p w14:paraId="1444ED41" w14:textId="77777777" w:rsidR="0098614B" w:rsidRPr="00DC3DC8" w:rsidRDefault="0098614B" w:rsidP="0098614B">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Marko Bradula (marko.bradula@zzzs.si; 01/30-77-384)</w:t>
      </w:r>
    </w:p>
    <w:p w14:paraId="334E8AB1" w14:textId="77777777" w:rsidR="0098614B" w:rsidRPr="00DC3DC8" w:rsidRDefault="0098614B" w:rsidP="0098614B">
      <w:pPr>
        <w:spacing w:after="0" w:line="240" w:lineRule="auto"/>
        <w:jc w:val="both"/>
        <w:rPr>
          <w:rFonts w:ascii="Calibri" w:eastAsia="Times New Roman" w:hAnsi="Calibri" w:cs="Calibri"/>
        </w:rPr>
      </w:pPr>
    </w:p>
    <w:p w14:paraId="672B64FE" w14:textId="77777777" w:rsidR="0098614B" w:rsidRPr="00DC3DC8" w:rsidRDefault="0098614B" w:rsidP="0098614B">
      <w:pPr>
        <w:spacing w:after="0" w:line="240" w:lineRule="auto"/>
        <w:jc w:val="both"/>
        <w:rPr>
          <w:rFonts w:ascii="Calibri" w:eastAsia="Times New Roman" w:hAnsi="Calibri" w:cs="Calibri"/>
        </w:rPr>
      </w:pPr>
    </w:p>
    <w:p w14:paraId="619D2384" w14:textId="77777777" w:rsidR="0098614B" w:rsidRPr="00DC3DC8" w:rsidRDefault="0098614B" w:rsidP="0098614B">
      <w:pPr>
        <w:spacing w:after="0" w:line="240" w:lineRule="auto"/>
        <w:jc w:val="both"/>
        <w:rPr>
          <w:rFonts w:ascii="Calibri" w:eastAsia="Times New Roman" w:hAnsi="Calibri" w:cs="Calibri"/>
        </w:rPr>
      </w:pPr>
    </w:p>
    <w:p w14:paraId="09189D89" w14:textId="77777777" w:rsidR="0098614B" w:rsidRPr="00DC3DC8" w:rsidRDefault="0098614B" w:rsidP="0098614B">
      <w:pPr>
        <w:spacing w:after="0" w:line="240" w:lineRule="auto"/>
        <w:jc w:val="both"/>
        <w:rPr>
          <w:rFonts w:ascii="Calibri" w:eastAsia="Times New Roman" w:hAnsi="Calibri" w:cs="Calibri"/>
        </w:rPr>
      </w:pPr>
    </w:p>
    <w:p w14:paraId="677C9F9D" w14:textId="1386C00C" w:rsidR="00713F16" w:rsidRPr="00DC3DC8" w:rsidRDefault="00713F16" w:rsidP="00713F16">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4" w:name="_Toc125701141"/>
      <w:r w:rsidRPr="00DC3DC8">
        <w:rPr>
          <w:rFonts w:ascii="Calibri" w:eastAsia="Times New Roman" w:hAnsi="Calibri" w:cs="Calibri"/>
          <w:b/>
          <w:color w:val="0070C0"/>
          <w:sz w:val="28"/>
          <w:szCs w:val="28"/>
        </w:rPr>
        <w:lastRenderedPageBreak/>
        <w:t>Nova klasifikacija storitev akutne bolnišnične obravnave SPP (verzija 10.0) –</w:t>
      </w:r>
      <w:r w:rsidR="00BD4E59" w:rsidRPr="00DC3DC8">
        <w:rPr>
          <w:rFonts w:ascii="Calibri" w:eastAsia="Times New Roman" w:hAnsi="Calibri" w:cs="Calibri"/>
          <w:b/>
          <w:color w:val="0070C0"/>
          <w:sz w:val="28"/>
          <w:szCs w:val="28"/>
        </w:rPr>
        <w:t xml:space="preserve"> spremembe uteži in opisov nekaterih SPP</w:t>
      </w:r>
      <w:r w:rsidRPr="00DC3DC8">
        <w:rPr>
          <w:rFonts w:ascii="Calibri" w:eastAsia="Times New Roman" w:hAnsi="Calibri" w:cs="Calibri"/>
          <w:b/>
          <w:color w:val="0070C0"/>
          <w:sz w:val="28"/>
          <w:szCs w:val="28"/>
        </w:rPr>
        <w:t xml:space="preserve"> </w:t>
      </w:r>
      <w:r w:rsidR="00BD4E59" w:rsidRPr="00DC3DC8">
        <w:rPr>
          <w:rFonts w:ascii="Calibri" w:eastAsia="Times New Roman" w:hAnsi="Calibri" w:cs="Calibri"/>
          <w:b/>
          <w:color w:val="0070C0"/>
          <w:sz w:val="28"/>
          <w:szCs w:val="28"/>
        </w:rPr>
        <w:t>s 1. 1. 2023</w:t>
      </w:r>
      <w:bookmarkEnd w:id="4"/>
    </w:p>
    <w:p w14:paraId="78D715CD" w14:textId="77777777" w:rsidR="00713F16" w:rsidRPr="00DC3DC8" w:rsidRDefault="00713F16" w:rsidP="00713F16">
      <w:pPr>
        <w:keepNext/>
        <w:keepLines/>
        <w:spacing w:after="0" w:line="240" w:lineRule="auto"/>
        <w:jc w:val="both"/>
        <w:rPr>
          <w:rFonts w:ascii="Calibri" w:eastAsia="Times New Roman" w:hAnsi="Calibri" w:cs="Calibri"/>
          <w:bCs/>
          <w:i/>
          <w:iCs/>
          <w:color w:val="0070C0"/>
        </w:rPr>
      </w:pPr>
    </w:p>
    <w:p w14:paraId="367847BC" w14:textId="14ED90C2" w:rsidR="00713F16" w:rsidRPr="00DC3DC8" w:rsidRDefault="00713F16" w:rsidP="00713F16">
      <w:pPr>
        <w:keepNext/>
        <w:keepLines/>
        <w:spacing w:after="0" w:line="240" w:lineRule="auto"/>
        <w:jc w:val="both"/>
        <w:rPr>
          <w:rFonts w:ascii="Calibri" w:eastAsia="Times New Roman" w:hAnsi="Calibri" w:cs="Calibri"/>
          <w:bCs/>
          <w:i/>
          <w:iCs/>
          <w:color w:val="0070C0"/>
        </w:rPr>
      </w:pPr>
      <w:r w:rsidRPr="00DC3DC8">
        <w:rPr>
          <w:rFonts w:ascii="Calibri" w:eastAsia="Times New Roman" w:hAnsi="Calibri" w:cs="Calibri"/>
          <w:bCs/>
          <w:i/>
          <w:iCs/>
          <w:color w:val="0070C0"/>
        </w:rPr>
        <w:t>Izvajalcem bolnišničnih obravnav v sistemu SPP</w:t>
      </w:r>
    </w:p>
    <w:p w14:paraId="3F64C84B" w14:textId="77777777" w:rsidR="00713F16" w:rsidRPr="00DC3DC8" w:rsidRDefault="00713F16" w:rsidP="00713F16">
      <w:pPr>
        <w:spacing w:after="0" w:line="240" w:lineRule="auto"/>
        <w:jc w:val="both"/>
        <w:rPr>
          <w:b/>
          <w:bCs/>
        </w:rPr>
      </w:pPr>
    </w:p>
    <w:p w14:paraId="1864CCA6" w14:textId="77777777" w:rsidR="00713F16" w:rsidRPr="00DC3DC8" w:rsidRDefault="00713F16" w:rsidP="00713F16">
      <w:pPr>
        <w:keepNext/>
        <w:keepLines/>
        <w:spacing w:after="0" w:line="240" w:lineRule="auto"/>
        <w:jc w:val="both"/>
        <w:rPr>
          <w:rFonts w:ascii="Calibri" w:eastAsia="Times New Roman" w:hAnsi="Calibri" w:cs="Calibri"/>
          <w:b/>
          <w:bCs/>
        </w:rPr>
      </w:pPr>
      <w:r w:rsidRPr="00DC3DC8">
        <w:rPr>
          <w:rFonts w:ascii="Calibri" w:eastAsia="Times New Roman" w:hAnsi="Calibri" w:cs="Calibri"/>
          <w:b/>
          <w:bCs/>
        </w:rPr>
        <w:t>Povzetek vsebine</w:t>
      </w:r>
    </w:p>
    <w:p w14:paraId="6E0BC941" w14:textId="77777777" w:rsidR="00713F16" w:rsidRPr="00DC3DC8" w:rsidRDefault="00713F16" w:rsidP="00713F16">
      <w:pPr>
        <w:spacing w:after="0" w:line="240" w:lineRule="auto"/>
        <w:jc w:val="both"/>
        <w:rPr>
          <w:rFonts w:ascii="Calibri" w:eastAsia="Times New Roman" w:hAnsi="Calibri" w:cs="Calibri"/>
          <w:lang w:eastAsia="sl-SI"/>
        </w:rPr>
      </w:pPr>
    </w:p>
    <w:p w14:paraId="5534B15B" w14:textId="653CBE47" w:rsidR="00713F16" w:rsidRPr="00DC3DC8" w:rsidRDefault="00713F16" w:rsidP="00713F16">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 xml:space="preserve">Z Okrožnicama ZAE 19/22 in </w:t>
      </w:r>
      <w:r w:rsidR="00FE46B1" w:rsidRPr="00DC3DC8">
        <w:rPr>
          <w:rFonts w:ascii="Calibri" w:eastAsia="Times New Roman" w:hAnsi="Calibri" w:cs="Calibri"/>
          <w:lang w:eastAsia="sl-SI"/>
        </w:rPr>
        <w:t xml:space="preserve">ZAE </w:t>
      </w:r>
      <w:r w:rsidRPr="00DC3DC8">
        <w:rPr>
          <w:rFonts w:ascii="Calibri" w:eastAsia="Times New Roman" w:hAnsi="Calibri" w:cs="Calibri"/>
          <w:lang w:eastAsia="sl-SI"/>
        </w:rPr>
        <w:t xml:space="preserve">20/22 je Zavod uvedel novo klasifikacijo storitev SPP (verzija 10.0). S to okrožnico na podlagi poziva Ministrstva za zdravje objavljamo spremembe uteži nekaterih SPP, ki bodo veljale za obračun zaključenih obravnav od 1. 1. 2023 dalje. </w:t>
      </w:r>
      <w:bookmarkStart w:id="5" w:name="_Hlk119409844"/>
      <w:r w:rsidRPr="00DC3DC8">
        <w:rPr>
          <w:rFonts w:ascii="Calibri" w:eastAsia="Times New Roman" w:hAnsi="Calibri" w:cs="Calibri"/>
          <w:lang w:eastAsia="sl-SI"/>
        </w:rPr>
        <w:t>Pri nekaterih SPP se popravi tudi prevod kratkega in/ali dolgega opisa.</w:t>
      </w:r>
    </w:p>
    <w:p w14:paraId="6184DBE1" w14:textId="77777777" w:rsidR="00713F16" w:rsidRPr="00DC3DC8" w:rsidRDefault="00713F16" w:rsidP="00713F16">
      <w:pPr>
        <w:spacing w:after="0" w:line="240" w:lineRule="auto"/>
        <w:jc w:val="both"/>
        <w:rPr>
          <w:rFonts w:ascii="Calibri" w:eastAsia="Times New Roman" w:hAnsi="Calibri" w:cs="Calibri"/>
          <w:lang w:eastAsia="sl-SI"/>
        </w:rPr>
      </w:pPr>
    </w:p>
    <w:p w14:paraId="40F42F30" w14:textId="77777777" w:rsidR="00713F16" w:rsidRPr="00DC3DC8" w:rsidRDefault="00713F16" w:rsidP="00713F16">
      <w:pPr>
        <w:widowControl w:val="0"/>
        <w:suppressAutoHyphens/>
        <w:spacing w:after="0" w:line="240" w:lineRule="auto"/>
        <w:jc w:val="both"/>
        <w:rPr>
          <w:rFonts w:ascii="Calibri" w:eastAsia="Times New Roman" w:hAnsi="Calibri" w:cs="Calibri"/>
          <w:b/>
          <w:bCs/>
          <w:color w:val="000000"/>
        </w:rPr>
      </w:pPr>
      <w:r w:rsidRPr="00DC3DC8">
        <w:rPr>
          <w:rFonts w:ascii="Calibri" w:eastAsia="Times New Roman" w:hAnsi="Calibri" w:cs="Calibri"/>
          <w:b/>
          <w:bCs/>
          <w:color w:val="000000"/>
        </w:rPr>
        <w:t>Navodilo za obračun</w:t>
      </w:r>
    </w:p>
    <w:p w14:paraId="72C32637" w14:textId="77777777" w:rsidR="00713F16" w:rsidRPr="00DC3DC8" w:rsidRDefault="00713F16" w:rsidP="00713F16">
      <w:pPr>
        <w:spacing w:after="0" w:line="240" w:lineRule="auto"/>
        <w:jc w:val="both"/>
        <w:rPr>
          <w:rFonts w:ascii="Calibri" w:eastAsia="Times New Roman" w:hAnsi="Calibri" w:cs="Calibri"/>
          <w:lang w:eastAsia="sl-SI"/>
        </w:rPr>
      </w:pPr>
    </w:p>
    <w:bookmarkEnd w:id="5"/>
    <w:p w14:paraId="439E0DC2" w14:textId="77777777" w:rsidR="00713F16" w:rsidRPr="00DC3DC8" w:rsidRDefault="00713F16" w:rsidP="00713F16">
      <w:pPr>
        <w:spacing w:after="0" w:line="240" w:lineRule="auto"/>
        <w:jc w:val="both"/>
        <w:rPr>
          <w:rFonts w:cstheme="minorHAnsi"/>
        </w:rPr>
      </w:pPr>
      <w:r w:rsidRPr="00DC3DC8">
        <w:rPr>
          <w:rFonts w:cstheme="minorHAnsi"/>
        </w:rPr>
        <w:t>Skladno z navedenim se:</w:t>
      </w:r>
    </w:p>
    <w:p w14:paraId="21829608" w14:textId="77777777" w:rsidR="00713F16" w:rsidRPr="00DC3DC8" w:rsidRDefault="00713F16" w:rsidP="00713F16">
      <w:pPr>
        <w:pStyle w:val="Odstavekseznama"/>
        <w:numPr>
          <w:ilvl w:val="0"/>
          <w:numId w:val="9"/>
        </w:numPr>
        <w:jc w:val="both"/>
        <w:rPr>
          <w:rFonts w:asciiTheme="minorHAnsi" w:hAnsiTheme="minorHAnsi" w:cstheme="minorHAnsi"/>
          <w:sz w:val="22"/>
          <w:szCs w:val="22"/>
        </w:rPr>
      </w:pPr>
      <w:r w:rsidRPr="00DC3DC8">
        <w:rPr>
          <w:rFonts w:asciiTheme="minorHAnsi" w:hAnsiTheme="minorHAnsi" w:cstheme="minorHAnsi"/>
          <w:sz w:val="22"/>
          <w:szCs w:val="22"/>
        </w:rPr>
        <w:t>v seznamu storitev 15.26 »Skupine primerljivih primerov (SPP)« popravi utež nekaterih SPP ter njihov kratek in/ali dolg opis. Seznam sprememb je prikazan v Prilogi 1 te okrožnice.</w:t>
      </w:r>
    </w:p>
    <w:p w14:paraId="29C2807B" w14:textId="71886DDF" w:rsidR="00713F16" w:rsidRPr="00DC3DC8" w:rsidRDefault="00713F16" w:rsidP="00713F16">
      <w:pPr>
        <w:spacing w:after="0" w:line="240" w:lineRule="auto"/>
        <w:jc w:val="both"/>
      </w:pPr>
    </w:p>
    <w:p w14:paraId="19EBE951" w14:textId="77777777" w:rsidR="00713F16" w:rsidRPr="00DC3DC8" w:rsidRDefault="00713F16" w:rsidP="00713F16">
      <w:pPr>
        <w:spacing w:after="0" w:line="240" w:lineRule="auto"/>
        <w:jc w:val="both"/>
      </w:pPr>
    </w:p>
    <w:p w14:paraId="25C7C4C7" w14:textId="77777777" w:rsidR="00713F16" w:rsidRPr="00DC3DC8" w:rsidRDefault="00713F16" w:rsidP="00713F16">
      <w:pPr>
        <w:autoSpaceDE w:val="0"/>
        <w:autoSpaceDN w:val="0"/>
        <w:adjustRightInd w:val="0"/>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 xml:space="preserve">Kontaktna oseba za vsebinska vprašanja: </w:t>
      </w:r>
    </w:p>
    <w:p w14:paraId="7BD4D4D1" w14:textId="77777777" w:rsidR="00713F16" w:rsidRPr="00DC3DC8" w:rsidRDefault="00713F16" w:rsidP="00713F16">
      <w:pPr>
        <w:widowControl w:val="0"/>
        <w:suppressAutoHyphens/>
        <w:spacing w:after="0" w:line="240" w:lineRule="auto"/>
        <w:jc w:val="both"/>
      </w:pPr>
      <w:r w:rsidRPr="00DC3DC8">
        <w:rPr>
          <w:rFonts w:ascii="Calibri" w:eastAsia="Times New Roman" w:hAnsi="Calibri" w:cs="Arial"/>
          <w:lang w:eastAsia="sl-SI"/>
        </w:rPr>
        <w:t>Franc Osredkar (</w:t>
      </w:r>
      <w:hyperlink r:id="rId10" w:history="1">
        <w:r w:rsidRPr="00DC3DC8">
          <w:rPr>
            <w:rFonts w:ascii="Calibri" w:eastAsia="Times New Roman" w:hAnsi="Calibri" w:cs="Arial"/>
            <w:noProof/>
            <w:color w:val="0000FF"/>
            <w:u w:val="single"/>
            <w:lang w:eastAsia="sl-SI"/>
          </w:rPr>
          <w:t>franc.osredkar@zzzs.si</w:t>
        </w:r>
      </w:hyperlink>
      <w:r w:rsidRPr="00DC3DC8">
        <w:rPr>
          <w:rFonts w:ascii="Calibri" w:eastAsia="Times New Roman" w:hAnsi="Calibri" w:cs="Arial"/>
          <w:lang w:eastAsia="sl-SI"/>
        </w:rPr>
        <w:t xml:space="preserve">  01/30-77-383)</w:t>
      </w:r>
    </w:p>
    <w:p w14:paraId="4314FEDD" w14:textId="77777777" w:rsidR="00713F16" w:rsidRPr="00DC3DC8" w:rsidRDefault="00713F16" w:rsidP="00CE2142">
      <w:pPr>
        <w:spacing w:after="0" w:line="240" w:lineRule="auto"/>
        <w:jc w:val="both"/>
        <w:rPr>
          <w:rFonts w:ascii="Calibri" w:eastAsia="Times New Roman" w:hAnsi="Calibri" w:cs="Calibri"/>
        </w:rPr>
      </w:pPr>
    </w:p>
    <w:p w14:paraId="2C8D5317" w14:textId="44B96E53" w:rsidR="00E930FC" w:rsidRPr="00DC3DC8" w:rsidRDefault="00E930FC" w:rsidP="00CE2142">
      <w:pPr>
        <w:spacing w:after="0" w:line="240" w:lineRule="auto"/>
        <w:jc w:val="both"/>
        <w:rPr>
          <w:rFonts w:ascii="Calibri" w:eastAsia="Times New Roman" w:hAnsi="Calibri" w:cs="Calibri"/>
        </w:rPr>
      </w:pPr>
    </w:p>
    <w:p w14:paraId="18CA3F3F" w14:textId="21E9063E" w:rsidR="00E930FC" w:rsidRPr="00DC3DC8" w:rsidRDefault="00E930FC" w:rsidP="00CE2142">
      <w:pPr>
        <w:spacing w:after="0" w:line="240" w:lineRule="auto"/>
        <w:jc w:val="both"/>
        <w:rPr>
          <w:rFonts w:ascii="Calibri" w:eastAsia="Times New Roman" w:hAnsi="Calibri" w:cs="Calibri"/>
        </w:rPr>
      </w:pPr>
    </w:p>
    <w:p w14:paraId="03A12E67" w14:textId="61454D41" w:rsidR="00E930FC" w:rsidRPr="00DC3DC8" w:rsidRDefault="00E930FC" w:rsidP="00E930FC">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6" w:name="_Toc125701142"/>
      <w:r w:rsidRPr="00DC3DC8">
        <w:rPr>
          <w:rFonts w:ascii="Calibri" w:eastAsia="Times New Roman" w:hAnsi="Calibri" w:cs="Calibri"/>
          <w:b/>
          <w:color w:val="0070C0"/>
          <w:sz w:val="28"/>
          <w:szCs w:val="28"/>
        </w:rPr>
        <w:t>Lekarne na primarni ravni – posodobitev osebne kartice zdravil oproščena plačila DDV s 1. 2. 2023</w:t>
      </w:r>
      <w:bookmarkEnd w:id="6"/>
    </w:p>
    <w:p w14:paraId="3AB1A55C" w14:textId="4C217FBB" w:rsidR="00E930FC" w:rsidRPr="00DC3DC8" w:rsidRDefault="00E930FC" w:rsidP="00CE2142">
      <w:pPr>
        <w:spacing w:after="0" w:line="240" w:lineRule="auto"/>
        <w:jc w:val="both"/>
        <w:rPr>
          <w:rFonts w:ascii="Calibri" w:eastAsia="Times New Roman" w:hAnsi="Calibri" w:cs="Calibri"/>
        </w:rPr>
      </w:pPr>
    </w:p>
    <w:p w14:paraId="6D3D7F9B" w14:textId="77777777" w:rsidR="00E930FC" w:rsidRPr="00DC3DC8" w:rsidRDefault="00E930FC" w:rsidP="00E930FC">
      <w:pPr>
        <w:autoSpaceDE w:val="0"/>
        <w:autoSpaceDN w:val="0"/>
        <w:adjustRightInd w:val="0"/>
        <w:spacing w:after="0" w:line="240" w:lineRule="auto"/>
        <w:jc w:val="both"/>
        <w:rPr>
          <w:rFonts w:ascii="Calibri" w:eastAsia="Times New Roman" w:hAnsi="Calibri" w:cs="Calibri"/>
          <w:bCs/>
          <w:i/>
          <w:iCs/>
          <w:color w:val="0070C0"/>
          <w:lang w:eastAsia="sl-SI"/>
        </w:rPr>
      </w:pPr>
      <w:r w:rsidRPr="00DC3DC8">
        <w:rPr>
          <w:rFonts w:ascii="Calibri" w:eastAsia="Times New Roman" w:hAnsi="Calibri" w:cs="Calibri"/>
          <w:bCs/>
          <w:i/>
          <w:iCs/>
          <w:color w:val="0070C0"/>
          <w:lang w:eastAsia="sl-SI"/>
        </w:rPr>
        <w:t>Vsem izvajalcem lekarniške dejavnosti na primarni ravni</w:t>
      </w:r>
    </w:p>
    <w:p w14:paraId="6B555B69" w14:textId="77777777" w:rsidR="00E930FC" w:rsidRPr="00DC3DC8" w:rsidRDefault="00E930FC" w:rsidP="00E930FC">
      <w:pPr>
        <w:autoSpaceDE w:val="0"/>
        <w:autoSpaceDN w:val="0"/>
        <w:adjustRightInd w:val="0"/>
        <w:spacing w:after="0" w:line="240" w:lineRule="auto"/>
        <w:jc w:val="both"/>
        <w:rPr>
          <w:rFonts w:ascii="Calibri" w:eastAsia="Times New Roman" w:hAnsi="Calibri" w:cs="Arial"/>
          <w:b/>
          <w:bCs/>
          <w:lang w:eastAsia="sl-SI"/>
        </w:rPr>
      </w:pPr>
    </w:p>
    <w:p w14:paraId="44A0BFF5" w14:textId="77777777" w:rsidR="00E930FC" w:rsidRPr="00DC3DC8" w:rsidRDefault="00E930FC" w:rsidP="00E930FC">
      <w:pPr>
        <w:autoSpaceDE w:val="0"/>
        <w:autoSpaceDN w:val="0"/>
        <w:adjustRightInd w:val="0"/>
        <w:spacing w:after="0" w:line="240" w:lineRule="auto"/>
        <w:jc w:val="both"/>
        <w:rPr>
          <w:rFonts w:ascii="Calibri" w:eastAsia="Times New Roman" w:hAnsi="Calibri" w:cs="Arial"/>
          <w:b/>
          <w:bCs/>
          <w:lang w:eastAsia="sl-SI"/>
        </w:rPr>
      </w:pPr>
      <w:r w:rsidRPr="00DC3DC8">
        <w:rPr>
          <w:rFonts w:ascii="Calibri" w:eastAsia="Times New Roman" w:hAnsi="Calibri" w:cs="Arial"/>
          <w:b/>
          <w:bCs/>
          <w:lang w:eastAsia="sl-SI"/>
        </w:rPr>
        <w:t>Povzetek vsebine</w:t>
      </w:r>
    </w:p>
    <w:p w14:paraId="65F0FABC" w14:textId="77777777" w:rsidR="00E930FC" w:rsidRPr="00DC3DC8" w:rsidRDefault="00E930FC" w:rsidP="00E930FC">
      <w:pPr>
        <w:autoSpaceDE w:val="0"/>
        <w:autoSpaceDN w:val="0"/>
        <w:adjustRightInd w:val="0"/>
        <w:spacing w:after="0" w:line="240" w:lineRule="auto"/>
        <w:jc w:val="both"/>
        <w:rPr>
          <w:rFonts w:eastAsia="Times New Roman" w:cstheme="minorHAnsi"/>
          <w:color w:val="808080"/>
          <w:lang w:eastAsia="sl-SI"/>
        </w:rPr>
      </w:pPr>
    </w:p>
    <w:p w14:paraId="68CFEB3E" w14:textId="77777777" w:rsidR="00E930FC" w:rsidRPr="00DC3DC8" w:rsidRDefault="00E930FC" w:rsidP="00E930FC">
      <w:pPr>
        <w:keepNext/>
        <w:keepLines/>
        <w:suppressAutoHyphens/>
        <w:spacing w:after="0" w:line="240" w:lineRule="auto"/>
        <w:jc w:val="both"/>
        <w:rPr>
          <w:rFonts w:eastAsia="Calibri" w:cstheme="minorHAnsi"/>
          <w:color w:val="000000"/>
          <w:lang w:eastAsia="sl-SI"/>
        </w:rPr>
      </w:pPr>
      <w:r w:rsidRPr="00DC3DC8">
        <w:rPr>
          <w:rFonts w:cstheme="minorHAnsi"/>
          <w:color w:val="000000"/>
        </w:rPr>
        <w:t xml:space="preserve">Zavod je z Okrožnico ZAE 19/22 uvedel </w:t>
      </w:r>
      <w:r w:rsidRPr="00DC3DC8">
        <w:rPr>
          <w:rFonts w:eastAsia="Calibri" w:cstheme="minorHAnsi"/>
          <w:color w:val="000000"/>
          <w:lang w:eastAsia="sl-SI"/>
        </w:rPr>
        <w:t>novo kognitivno storitev 75010 »P</w:t>
      </w:r>
      <w:r w:rsidRPr="00DC3DC8">
        <w:rPr>
          <w:rFonts w:ascii="Calibri" w:eastAsia="Times New Roman" w:hAnsi="Calibri" w:cs="Calibri"/>
          <w:lang w:eastAsia="sl-SI"/>
        </w:rPr>
        <w:t>osodobitev osebne kartice zdravil (OKZ)«</w:t>
      </w:r>
      <w:r w:rsidRPr="00DC3DC8">
        <w:rPr>
          <w:rFonts w:eastAsia="Calibri" w:cstheme="minorHAnsi"/>
          <w:color w:val="000000"/>
          <w:lang w:eastAsia="sl-SI"/>
        </w:rPr>
        <w:t>, ki jo lekarne na primarni ravni beležijo na novi dejavnosti 743 608 »Kognitivne storitve« in pri tem opredelil, da se storitev obračuna po nižji, 9,5-odstotni stopnji DDV.</w:t>
      </w:r>
    </w:p>
    <w:p w14:paraId="0B80876A" w14:textId="77777777" w:rsidR="00E930FC" w:rsidRPr="00DC3DC8" w:rsidRDefault="00E930FC" w:rsidP="00E930FC">
      <w:pPr>
        <w:keepNext/>
        <w:keepLines/>
        <w:suppressAutoHyphens/>
        <w:spacing w:after="0" w:line="240" w:lineRule="auto"/>
        <w:jc w:val="both"/>
        <w:rPr>
          <w:rFonts w:eastAsia="Calibri" w:cstheme="minorHAnsi"/>
          <w:color w:val="000000"/>
          <w:lang w:eastAsia="sl-SI"/>
        </w:rPr>
      </w:pPr>
    </w:p>
    <w:p w14:paraId="5CD79179" w14:textId="77777777" w:rsidR="00E930FC" w:rsidRPr="00DC3DC8" w:rsidRDefault="00E930FC" w:rsidP="00E930FC">
      <w:pPr>
        <w:keepNext/>
        <w:keepLines/>
        <w:suppressAutoHyphens/>
        <w:spacing w:after="0" w:line="240" w:lineRule="auto"/>
        <w:jc w:val="both"/>
        <w:rPr>
          <w:rFonts w:eastAsia="Calibri" w:cstheme="minorHAnsi"/>
          <w:color w:val="000000"/>
          <w:lang w:eastAsia="sl-SI"/>
        </w:rPr>
      </w:pPr>
      <w:r w:rsidRPr="00DC3DC8">
        <w:rPr>
          <w:rFonts w:eastAsia="Calibri" w:cstheme="minorHAnsi"/>
          <w:color w:val="000000"/>
          <w:lang w:eastAsia="sl-SI"/>
        </w:rPr>
        <w:t>Po prejemu mnenja FURS sporočamo, da je storitev posodobitve OKZ oproščena plačila DDV.</w:t>
      </w:r>
    </w:p>
    <w:p w14:paraId="54F4AFFD" w14:textId="77777777" w:rsidR="00E930FC" w:rsidRPr="00DC3DC8" w:rsidRDefault="00E930FC" w:rsidP="00E930FC">
      <w:pPr>
        <w:autoSpaceDE w:val="0"/>
        <w:autoSpaceDN w:val="0"/>
        <w:adjustRightInd w:val="0"/>
        <w:spacing w:after="0" w:line="240" w:lineRule="auto"/>
        <w:jc w:val="both"/>
        <w:rPr>
          <w:rFonts w:ascii="Calibri" w:eastAsia="Times New Roman" w:hAnsi="Calibri" w:cs="Calibri"/>
          <w:color w:val="000000"/>
          <w:lang w:eastAsia="sl-SI"/>
        </w:rPr>
      </w:pPr>
    </w:p>
    <w:p w14:paraId="4A105F5E" w14:textId="77777777" w:rsidR="00E930FC" w:rsidRPr="00DC3DC8" w:rsidRDefault="00E930FC" w:rsidP="00E930FC">
      <w:pPr>
        <w:autoSpaceDE w:val="0"/>
        <w:autoSpaceDN w:val="0"/>
        <w:adjustRightInd w:val="0"/>
        <w:spacing w:after="0" w:line="240" w:lineRule="auto"/>
        <w:jc w:val="both"/>
        <w:rPr>
          <w:rFonts w:ascii="Calibri" w:eastAsia="Times New Roman" w:hAnsi="Calibri" w:cs="Arial"/>
          <w:b/>
          <w:bCs/>
          <w:lang w:eastAsia="sl-SI"/>
        </w:rPr>
      </w:pPr>
      <w:r w:rsidRPr="00DC3DC8">
        <w:rPr>
          <w:rFonts w:ascii="Calibri" w:eastAsia="Times New Roman" w:hAnsi="Calibri" w:cs="Arial"/>
          <w:b/>
          <w:bCs/>
          <w:lang w:eastAsia="sl-SI"/>
        </w:rPr>
        <w:t>Navodilo za obračun</w:t>
      </w:r>
    </w:p>
    <w:p w14:paraId="7127668C" w14:textId="77777777" w:rsidR="00E930FC" w:rsidRPr="00DC3DC8" w:rsidRDefault="00E930FC" w:rsidP="00E930FC">
      <w:pPr>
        <w:spacing w:after="0" w:line="240" w:lineRule="auto"/>
        <w:contextualSpacing/>
        <w:jc w:val="both"/>
        <w:rPr>
          <w:rFonts w:ascii="Calibri" w:eastAsia="Times New Roman" w:hAnsi="Calibri" w:cs="Arial"/>
          <w:b/>
          <w:bCs/>
          <w:lang w:eastAsia="sl-SI"/>
        </w:rPr>
      </w:pPr>
    </w:p>
    <w:p w14:paraId="0F95FB0E" w14:textId="77777777" w:rsidR="00E930FC" w:rsidRPr="00DC3DC8" w:rsidRDefault="00E930FC" w:rsidP="00E930FC">
      <w:pPr>
        <w:spacing w:after="0" w:line="240" w:lineRule="auto"/>
        <w:contextualSpacing/>
        <w:jc w:val="both"/>
        <w:rPr>
          <w:rFonts w:ascii="Calibri" w:eastAsia="Times New Roman" w:hAnsi="Calibri" w:cs="Calibri"/>
          <w:lang w:eastAsia="sl-SI"/>
        </w:rPr>
      </w:pPr>
      <w:r w:rsidRPr="00DC3DC8">
        <w:rPr>
          <w:rFonts w:ascii="Calibri" w:eastAsia="Times New Roman" w:hAnsi="Calibri" w:cs="Arial"/>
          <w:lang w:eastAsia="sl-SI"/>
        </w:rPr>
        <w:t xml:space="preserve">Zaradi spremenjene davčne stopnje spreminjamo povezovalni šifrant </w:t>
      </w:r>
      <w:r w:rsidRPr="00DC3DC8">
        <w:rPr>
          <w:rFonts w:ascii="Calibri" w:eastAsia="Times New Roman" w:hAnsi="Calibri" w:cs="Calibri"/>
          <w:lang w:eastAsia="sl-SI"/>
        </w:rPr>
        <w:t>K5.1 »Podvrsta s stopnjo DDV« kot sledi:</w:t>
      </w:r>
    </w:p>
    <w:p w14:paraId="07CCF4AC" w14:textId="77777777" w:rsidR="00E930FC" w:rsidRPr="00DC3DC8" w:rsidRDefault="00E930FC" w:rsidP="00E930FC">
      <w:pPr>
        <w:spacing w:after="0" w:line="240" w:lineRule="auto"/>
        <w:contextualSpacing/>
        <w:jc w:val="both"/>
        <w:rPr>
          <w:rFonts w:ascii="Calibri" w:eastAsia="Times New Roman" w:hAnsi="Calibri" w:cs="Calibri"/>
          <w:lang w:eastAsia="sl-SI"/>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556"/>
        <w:gridCol w:w="527"/>
        <w:gridCol w:w="3785"/>
        <w:gridCol w:w="1112"/>
        <w:gridCol w:w="1252"/>
        <w:gridCol w:w="1223"/>
      </w:tblGrid>
      <w:tr w:rsidR="00E930FC" w:rsidRPr="00DC3DC8" w14:paraId="31978B19" w14:textId="77777777" w:rsidTr="0024223A">
        <w:trPr>
          <w:trHeight w:val="286"/>
          <w:tblHeader/>
        </w:trPr>
        <w:tc>
          <w:tcPr>
            <w:tcW w:w="969" w:type="dxa"/>
            <w:shd w:val="clear" w:color="auto" w:fill="auto"/>
            <w:vAlign w:val="bottom"/>
          </w:tcPr>
          <w:p w14:paraId="5CD320E2"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4868" w:type="dxa"/>
            <w:gridSpan w:val="3"/>
            <w:shd w:val="clear" w:color="auto" w:fill="auto"/>
            <w:vAlign w:val="bottom"/>
          </w:tcPr>
          <w:p w14:paraId="2AA152FF"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1112" w:type="dxa"/>
            <w:shd w:val="clear" w:color="auto" w:fill="auto"/>
          </w:tcPr>
          <w:p w14:paraId="09F9D2C3" w14:textId="77777777" w:rsidR="00E930FC" w:rsidRPr="00DC3DC8" w:rsidRDefault="00E930FC" w:rsidP="0024223A">
            <w:pPr>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0% Oproščeno</w:t>
            </w:r>
          </w:p>
        </w:tc>
        <w:tc>
          <w:tcPr>
            <w:tcW w:w="1252" w:type="dxa"/>
          </w:tcPr>
          <w:p w14:paraId="50173950" w14:textId="77777777" w:rsidR="00E930FC" w:rsidRPr="00DC3DC8" w:rsidRDefault="00E930FC" w:rsidP="0024223A">
            <w:pPr>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Obdavčeno 9,5%</w:t>
            </w:r>
          </w:p>
        </w:tc>
        <w:tc>
          <w:tcPr>
            <w:tcW w:w="1223" w:type="dxa"/>
          </w:tcPr>
          <w:p w14:paraId="25FE8DED" w14:textId="77777777" w:rsidR="00E930FC" w:rsidRPr="00DC3DC8" w:rsidRDefault="00E930FC" w:rsidP="0024223A">
            <w:pPr>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Obdavčeno 22%</w:t>
            </w:r>
          </w:p>
        </w:tc>
      </w:tr>
      <w:tr w:rsidR="00E930FC" w:rsidRPr="00DC3DC8" w14:paraId="3EB20110" w14:textId="77777777" w:rsidTr="00E930FC">
        <w:trPr>
          <w:trHeight w:val="197"/>
        </w:trPr>
        <w:tc>
          <w:tcPr>
            <w:tcW w:w="969" w:type="dxa"/>
            <w:shd w:val="clear" w:color="auto" w:fill="auto"/>
          </w:tcPr>
          <w:p w14:paraId="1DC01B4C" w14:textId="77777777" w:rsidR="00E930FC" w:rsidRPr="00DC3DC8" w:rsidRDefault="00E930FC" w:rsidP="00E930FC">
            <w:pPr>
              <w:spacing w:after="0" w:line="240" w:lineRule="auto"/>
              <w:rPr>
                <w:rFonts w:ascii="Calibri" w:eastAsia="Times New Roman" w:hAnsi="Calibri" w:cs="Calibri"/>
                <w:sz w:val="20"/>
                <w:szCs w:val="20"/>
                <w:lang w:eastAsia="sl-SI"/>
              </w:rPr>
            </w:pPr>
            <w:r w:rsidRPr="00DC3DC8">
              <w:rPr>
                <w:rFonts w:eastAsiaTheme="minorEastAsia" w:cstheme="minorHAnsi"/>
                <w:sz w:val="20"/>
                <w:szCs w:val="20"/>
                <w:lang w:eastAsia="sl-SI"/>
              </w:rPr>
              <w:t>G47.730</w:t>
            </w:r>
          </w:p>
        </w:tc>
        <w:tc>
          <w:tcPr>
            <w:tcW w:w="4868" w:type="dxa"/>
            <w:gridSpan w:val="3"/>
            <w:shd w:val="clear" w:color="auto" w:fill="auto"/>
            <w:vAlign w:val="bottom"/>
          </w:tcPr>
          <w:p w14:paraId="6DE3E496" w14:textId="77777777" w:rsidR="00E930FC" w:rsidRPr="00DC3DC8" w:rsidRDefault="00E930FC" w:rsidP="0024223A">
            <w:pPr>
              <w:spacing w:after="0" w:line="240" w:lineRule="auto"/>
              <w:rPr>
                <w:rFonts w:ascii="Calibri" w:eastAsia="Times New Roman" w:hAnsi="Calibri" w:cs="Calibri"/>
                <w:sz w:val="20"/>
                <w:szCs w:val="20"/>
                <w:lang w:eastAsia="sl-SI"/>
              </w:rPr>
            </w:pPr>
            <w:r w:rsidRPr="00DC3DC8">
              <w:rPr>
                <w:rFonts w:eastAsiaTheme="minorEastAsia" w:cstheme="minorHAnsi"/>
                <w:sz w:val="20"/>
                <w:szCs w:val="20"/>
                <w:lang w:eastAsia="sl-SI"/>
              </w:rPr>
              <w:t>Trgovina na drobno v specializiranih prodajalnah s farmacevtskimi izdelki</w:t>
            </w:r>
          </w:p>
        </w:tc>
        <w:tc>
          <w:tcPr>
            <w:tcW w:w="1112" w:type="dxa"/>
            <w:shd w:val="clear" w:color="auto" w:fill="auto"/>
            <w:vAlign w:val="bottom"/>
          </w:tcPr>
          <w:p w14:paraId="5AC52E40"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1252" w:type="dxa"/>
          </w:tcPr>
          <w:p w14:paraId="598C2C7C"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1223" w:type="dxa"/>
          </w:tcPr>
          <w:p w14:paraId="719365B7" w14:textId="77777777" w:rsidR="00E930FC" w:rsidRPr="00DC3DC8" w:rsidRDefault="00E930FC" w:rsidP="0024223A">
            <w:pPr>
              <w:spacing w:after="0" w:line="240" w:lineRule="auto"/>
              <w:rPr>
                <w:rFonts w:ascii="Calibri" w:eastAsia="Times New Roman" w:hAnsi="Calibri" w:cs="Calibri"/>
                <w:sz w:val="20"/>
                <w:szCs w:val="20"/>
                <w:lang w:eastAsia="sl-SI"/>
              </w:rPr>
            </w:pPr>
          </w:p>
        </w:tc>
      </w:tr>
      <w:tr w:rsidR="00E930FC" w:rsidRPr="00DC3DC8" w14:paraId="4DE6554A" w14:textId="77777777" w:rsidTr="0024223A">
        <w:trPr>
          <w:trHeight w:val="205"/>
        </w:trPr>
        <w:tc>
          <w:tcPr>
            <w:tcW w:w="969" w:type="dxa"/>
            <w:shd w:val="clear" w:color="auto" w:fill="auto"/>
            <w:vAlign w:val="bottom"/>
          </w:tcPr>
          <w:p w14:paraId="4DDF85B9" w14:textId="77777777" w:rsidR="00E930FC" w:rsidRPr="00DC3DC8" w:rsidRDefault="00E930FC" w:rsidP="0024223A">
            <w:pPr>
              <w:spacing w:after="0" w:line="240" w:lineRule="auto"/>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 </w:t>
            </w:r>
          </w:p>
        </w:tc>
        <w:tc>
          <w:tcPr>
            <w:tcW w:w="556" w:type="dxa"/>
            <w:tcBorders>
              <w:top w:val="nil"/>
              <w:left w:val="nil"/>
              <w:bottom w:val="single" w:sz="4" w:space="0" w:color="auto"/>
              <w:right w:val="single" w:sz="4" w:space="0" w:color="auto"/>
            </w:tcBorders>
            <w:shd w:val="clear" w:color="auto" w:fill="auto"/>
            <w:vAlign w:val="center"/>
          </w:tcPr>
          <w:p w14:paraId="1319EBEB" w14:textId="77777777" w:rsidR="00E930FC" w:rsidRPr="00DC3DC8" w:rsidRDefault="00E930FC" w:rsidP="0024223A">
            <w:pPr>
              <w:spacing w:after="0" w:line="240" w:lineRule="auto"/>
              <w:rPr>
                <w:rFonts w:ascii="Calibri" w:eastAsia="Times New Roman" w:hAnsi="Calibri" w:cs="Calibri"/>
                <w:sz w:val="20"/>
                <w:szCs w:val="20"/>
                <w:lang w:eastAsia="sl-SI"/>
              </w:rPr>
            </w:pPr>
            <w:r w:rsidRPr="00DC3DC8">
              <w:rPr>
                <w:rFonts w:eastAsia="Times New Roman" w:cstheme="minorHAnsi"/>
                <w:sz w:val="20"/>
                <w:szCs w:val="20"/>
                <w:lang w:eastAsia="sl-SI"/>
              </w:rPr>
              <w:t>743</w:t>
            </w: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647C4473" w14:textId="77777777" w:rsidR="00E930FC" w:rsidRPr="00DC3DC8" w:rsidRDefault="00E930FC" w:rsidP="0024223A">
            <w:pPr>
              <w:spacing w:after="0" w:line="240" w:lineRule="auto"/>
              <w:rPr>
                <w:rFonts w:ascii="Calibri" w:eastAsia="Times New Roman" w:hAnsi="Calibri" w:cs="Calibri"/>
                <w:sz w:val="20"/>
                <w:szCs w:val="20"/>
                <w:lang w:eastAsia="sl-SI"/>
              </w:rPr>
            </w:pPr>
            <w:r w:rsidRPr="00DC3DC8">
              <w:rPr>
                <w:rFonts w:eastAsia="Times New Roman" w:cstheme="minorHAnsi"/>
                <w:sz w:val="20"/>
                <w:szCs w:val="20"/>
                <w:lang w:eastAsia="sl-SI"/>
              </w:rPr>
              <w:t>Lekarniška dejavnost</w:t>
            </w:r>
          </w:p>
        </w:tc>
        <w:tc>
          <w:tcPr>
            <w:tcW w:w="1112" w:type="dxa"/>
            <w:shd w:val="clear" w:color="auto" w:fill="auto"/>
            <w:vAlign w:val="bottom"/>
          </w:tcPr>
          <w:p w14:paraId="0E5AE4D2"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1252" w:type="dxa"/>
          </w:tcPr>
          <w:p w14:paraId="5008F520"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1223" w:type="dxa"/>
          </w:tcPr>
          <w:p w14:paraId="02B0A63E" w14:textId="77777777" w:rsidR="00E930FC" w:rsidRPr="00DC3DC8" w:rsidRDefault="00E930FC" w:rsidP="0024223A">
            <w:pPr>
              <w:spacing w:after="0" w:line="240" w:lineRule="auto"/>
              <w:rPr>
                <w:rFonts w:ascii="Calibri" w:eastAsia="Times New Roman" w:hAnsi="Calibri" w:cs="Calibri"/>
                <w:sz w:val="20"/>
                <w:szCs w:val="20"/>
                <w:lang w:eastAsia="sl-SI"/>
              </w:rPr>
            </w:pPr>
          </w:p>
        </w:tc>
      </w:tr>
      <w:tr w:rsidR="00E930FC" w:rsidRPr="00DC3DC8" w14:paraId="0EE24EDA" w14:textId="77777777" w:rsidTr="0024223A">
        <w:trPr>
          <w:trHeight w:val="205"/>
        </w:trPr>
        <w:tc>
          <w:tcPr>
            <w:tcW w:w="969" w:type="dxa"/>
            <w:shd w:val="clear" w:color="auto" w:fill="auto"/>
            <w:vAlign w:val="bottom"/>
          </w:tcPr>
          <w:p w14:paraId="1862DDA4"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556" w:type="dxa"/>
            <w:shd w:val="clear" w:color="auto" w:fill="auto"/>
            <w:vAlign w:val="bottom"/>
          </w:tcPr>
          <w:p w14:paraId="23DD9A52" w14:textId="77777777" w:rsidR="00E930FC" w:rsidRPr="00DC3DC8" w:rsidRDefault="00E930FC" w:rsidP="0024223A">
            <w:pPr>
              <w:spacing w:after="0" w:line="240" w:lineRule="auto"/>
              <w:rPr>
                <w:rFonts w:ascii="Calibri" w:eastAsia="Times New Roman" w:hAnsi="Calibri" w:cs="Calibri"/>
                <w:sz w:val="20"/>
                <w:szCs w:val="20"/>
                <w:lang w:eastAsia="sl-SI"/>
              </w:rPr>
            </w:pPr>
          </w:p>
        </w:tc>
        <w:tc>
          <w:tcPr>
            <w:tcW w:w="527" w:type="dxa"/>
            <w:shd w:val="clear" w:color="auto" w:fill="auto"/>
            <w:vAlign w:val="center"/>
          </w:tcPr>
          <w:p w14:paraId="0776090B" w14:textId="77777777" w:rsidR="00E930FC" w:rsidRPr="00DC3DC8" w:rsidRDefault="00E930FC" w:rsidP="0024223A">
            <w:pPr>
              <w:spacing w:after="0" w:line="240" w:lineRule="auto"/>
              <w:rPr>
                <w:rFonts w:ascii="Calibri" w:eastAsia="Times New Roman" w:hAnsi="Calibri" w:cs="Calibri"/>
                <w:bCs/>
                <w:sz w:val="20"/>
                <w:szCs w:val="20"/>
                <w:lang w:eastAsia="sl-SI"/>
              </w:rPr>
            </w:pPr>
            <w:r w:rsidRPr="00DC3DC8">
              <w:rPr>
                <w:rFonts w:eastAsia="Times New Roman" w:cstheme="minorHAnsi"/>
                <w:bCs/>
                <w:sz w:val="20"/>
                <w:szCs w:val="20"/>
                <w:lang w:eastAsia="sl-SI"/>
              </w:rPr>
              <w:t>608</w:t>
            </w:r>
          </w:p>
        </w:tc>
        <w:tc>
          <w:tcPr>
            <w:tcW w:w="3785" w:type="dxa"/>
            <w:tcBorders>
              <w:top w:val="single" w:sz="4" w:space="0" w:color="auto"/>
              <w:left w:val="nil"/>
              <w:bottom w:val="single" w:sz="4" w:space="0" w:color="auto"/>
              <w:right w:val="single" w:sz="4" w:space="0" w:color="auto"/>
            </w:tcBorders>
            <w:shd w:val="clear" w:color="auto" w:fill="auto"/>
            <w:vAlign w:val="center"/>
          </w:tcPr>
          <w:p w14:paraId="5645A8E3" w14:textId="77777777" w:rsidR="00E930FC" w:rsidRPr="00DC3DC8" w:rsidRDefault="00E930FC" w:rsidP="0024223A">
            <w:pPr>
              <w:spacing w:after="0" w:line="240" w:lineRule="auto"/>
              <w:rPr>
                <w:rFonts w:ascii="Calibri" w:eastAsia="Times New Roman" w:hAnsi="Calibri" w:cs="Calibri"/>
                <w:bCs/>
                <w:sz w:val="20"/>
                <w:szCs w:val="20"/>
                <w:lang w:eastAsia="sl-SI"/>
              </w:rPr>
            </w:pPr>
            <w:r w:rsidRPr="00DC3DC8">
              <w:rPr>
                <w:rFonts w:cstheme="minorHAnsi"/>
                <w:bCs/>
                <w:color w:val="000000"/>
                <w:sz w:val="20"/>
                <w:szCs w:val="20"/>
              </w:rPr>
              <w:t>Kognitivne storitve</w:t>
            </w:r>
          </w:p>
        </w:tc>
        <w:tc>
          <w:tcPr>
            <w:tcW w:w="1112" w:type="dxa"/>
            <w:shd w:val="clear" w:color="auto" w:fill="auto"/>
          </w:tcPr>
          <w:p w14:paraId="496CE7A7" w14:textId="77777777" w:rsidR="00E930FC" w:rsidRPr="00DC3DC8" w:rsidRDefault="00E930FC" w:rsidP="0024223A">
            <w:pPr>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
                <w:strike/>
                <w:sz w:val="20"/>
                <w:szCs w:val="20"/>
                <w:lang w:eastAsia="sl-SI"/>
              </w:rPr>
              <w:t xml:space="preserve">/ </w:t>
            </w:r>
            <w:r w:rsidRPr="00DC3DC8">
              <w:rPr>
                <w:rFonts w:ascii="Calibri" w:eastAsia="Times New Roman" w:hAnsi="Calibri" w:cs="Calibri"/>
                <w:bCs/>
                <w:sz w:val="20"/>
                <w:szCs w:val="20"/>
                <w:lang w:eastAsia="sl-SI"/>
              </w:rPr>
              <w:t xml:space="preserve"> </w:t>
            </w:r>
            <w:r w:rsidRPr="00DC3DC8">
              <w:rPr>
                <w:rFonts w:ascii="Calibri" w:eastAsia="Times New Roman" w:hAnsi="Calibri" w:cs="Calibri"/>
                <w:b/>
                <w:sz w:val="20"/>
                <w:szCs w:val="20"/>
                <w:lang w:eastAsia="sl-SI"/>
              </w:rPr>
              <w:t>0%</w:t>
            </w:r>
          </w:p>
        </w:tc>
        <w:tc>
          <w:tcPr>
            <w:tcW w:w="1252" w:type="dxa"/>
          </w:tcPr>
          <w:p w14:paraId="71FFCDAD" w14:textId="77777777" w:rsidR="00E930FC" w:rsidRPr="00DC3DC8" w:rsidRDefault="00E930FC" w:rsidP="0024223A">
            <w:pPr>
              <w:spacing w:after="0" w:line="240" w:lineRule="auto"/>
              <w:jc w:val="center"/>
              <w:rPr>
                <w:rFonts w:ascii="Calibri" w:eastAsia="Times New Roman" w:hAnsi="Calibri" w:cs="Calibri"/>
                <w:bCs/>
                <w:strike/>
                <w:sz w:val="20"/>
                <w:szCs w:val="20"/>
                <w:lang w:eastAsia="sl-SI"/>
              </w:rPr>
            </w:pPr>
            <w:r w:rsidRPr="00DC3DC8">
              <w:rPr>
                <w:rFonts w:ascii="Calibri" w:eastAsia="Times New Roman" w:hAnsi="Calibri" w:cs="Calibri"/>
                <w:b/>
                <w:sz w:val="20"/>
                <w:szCs w:val="20"/>
                <w:lang w:eastAsia="sl-SI"/>
              </w:rPr>
              <w:t>/</w:t>
            </w:r>
            <w:r w:rsidRPr="00DC3DC8">
              <w:rPr>
                <w:rFonts w:ascii="Calibri" w:eastAsia="Times New Roman" w:hAnsi="Calibri" w:cs="Calibri"/>
                <w:bCs/>
                <w:sz w:val="20"/>
                <w:szCs w:val="20"/>
                <w:lang w:eastAsia="sl-SI"/>
              </w:rPr>
              <w:t xml:space="preserve"> </w:t>
            </w:r>
            <w:r w:rsidRPr="00DC3DC8">
              <w:rPr>
                <w:rFonts w:ascii="Calibri" w:eastAsia="Times New Roman" w:hAnsi="Calibri" w:cs="Calibri"/>
                <w:bCs/>
                <w:strike/>
                <w:sz w:val="20"/>
                <w:szCs w:val="20"/>
                <w:lang w:eastAsia="sl-SI"/>
              </w:rPr>
              <w:t xml:space="preserve"> </w:t>
            </w:r>
            <w:r w:rsidRPr="00DC3DC8">
              <w:rPr>
                <w:rFonts w:ascii="Calibri" w:eastAsia="Times New Roman" w:hAnsi="Calibri" w:cs="Calibri"/>
                <w:b/>
                <w:strike/>
                <w:sz w:val="20"/>
                <w:szCs w:val="20"/>
                <w:lang w:eastAsia="sl-SI"/>
              </w:rPr>
              <w:t>9,5%</w:t>
            </w:r>
          </w:p>
        </w:tc>
        <w:tc>
          <w:tcPr>
            <w:tcW w:w="1223" w:type="dxa"/>
          </w:tcPr>
          <w:p w14:paraId="7D826825" w14:textId="77777777" w:rsidR="00E930FC" w:rsidRPr="00DC3DC8" w:rsidRDefault="00E930FC" w:rsidP="0024223A">
            <w:pPr>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w:t>
            </w:r>
          </w:p>
        </w:tc>
      </w:tr>
    </w:tbl>
    <w:p w14:paraId="1AF7BAF8" w14:textId="77777777" w:rsidR="00E930FC" w:rsidRPr="00DC3DC8" w:rsidRDefault="00E930FC" w:rsidP="00E930FC">
      <w:pPr>
        <w:autoSpaceDE w:val="0"/>
        <w:autoSpaceDN w:val="0"/>
        <w:adjustRightInd w:val="0"/>
        <w:spacing w:after="0" w:line="240" w:lineRule="auto"/>
        <w:jc w:val="both"/>
        <w:rPr>
          <w:rFonts w:ascii="Calibri" w:eastAsia="Times New Roman" w:hAnsi="Calibri" w:cs="Arial"/>
          <w:b/>
          <w:bCs/>
          <w:lang w:eastAsia="sl-SI"/>
        </w:rPr>
      </w:pPr>
    </w:p>
    <w:p w14:paraId="2CCC714B" w14:textId="77777777" w:rsidR="00E930FC" w:rsidRPr="00DC3DC8" w:rsidRDefault="00E930FC" w:rsidP="00E930FC">
      <w:pPr>
        <w:autoSpaceDE w:val="0"/>
        <w:autoSpaceDN w:val="0"/>
        <w:adjustRightInd w:val="0"/>
        <w:spacing w:after="0" w:line="240" w:lineRule="auto"/>
        <w:jc w:val="both"/>
        <w:rPr>
          <w:rFonts w:ascii="Calibri" w:eastAsia="Calibri" w:hAnsi="Calibri" w:cs="Arial"/>
        </w:rPr>
      </w:pPr>
      <w:r w:rsidRPr="00DC3DC8">
        <w:rPr>
          <w:rFonts w:ascii="Calibri" w:eastAsia="Calibri" w:hAnsi="Calibri" w:cs="Arial"/>
        </w:rPr>
        <w:t>Sprememba velja za storitve, opravljene od 1. 2. 2023 dalje.</w:t>
      </w:r>
    </w:p>
    <w:p w14:paraId="3A2322BD" w14:textId="77777777" w:rsidR="00E930FC" w:rsidRPr="00DC3DC8" w:rsidRDefault="00E930FC" w:rsidP="00E930FC">
      <w:pPr>
        <w:autoSpaceDE w:val="0"/>
        <w:autoSpaceDN w:val="0"/>
        <w:adjustRightInd w:val="0"/>
        <w:spacing w:after="0" w:line="240" w:lineRule="auto"/>
        <w:jc w:val="both"/>
        <w:rPr>
          <w:rFonts w:ascii="Calibri" w:eastAsia="Calibri" w:hAnsi="Calibri" w:cs="Arial"/>
        </w:rPr>
      </w:pPr>
    </w:p>
    <w:p w14:paraId="70F873FD" w14:textId="77777777" w:rsidR="00E930FC" w:rsidRPr="00DC3DC8" w:rsidRDefault="00E930FC" w:rsidP="00E930FC">
      <w:pPr>
        <w:autoSpaceDE w:val="0"/>
        <w:autoSpaceDN w:val="0"/>
        <w:adjustRightInd w:val="0"/>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lastRenderedPageBreak/>
        <w:t xml:space="preserve">Kontaktni osebi za vsebinska vprašanja: </w:t>
      </w:r>
    </w:p>
    <w:p w14:paraId="0686AE1F" w14:textId="77777777" w:rsidR="00E930FC" w:rsidRPr="00DC3DC8" w:rsidRDefault="00E930FC" w:rsidP="00E930FC">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Rozeta Hafner (</w:t>
      </w:r>
      <w:hyperlink r:id="rId11" w:history="1">
        <w:r w:rsidRPr="00DC3DC8">
          <w:rPr>
            <w:rFonts w:ascii="Calibri" w:eastAsia="Times New Roman" w:hAnsi="Calibri" w:cs="Arial"/>
            <w:color w:val="0000FF"/>
            <w:u w:val="single"/>
            <w:lang w:eastAsia="sl-SI"/>
          </w:rPr>
          <w:t>rozeta.hafner@zzzs.si</w:t>
        </w:r>
      </w:hyperlink>
      <w:r w:rsidRPr="00DC3DC8">
        <w:rPr>
          <w:rFonts w:ascii="Calibri" w:eastAsia="Times New Roman" w:hAnsi="Calibri" w:cs="Arial"/>
          <w:lang w:eastAsia="sl-SI"/>
        </w:rPr>
        <w:t xml:space="preserve"> 01/30-77-588)</w:t>
      </w:r>
    </w:p>
    <w:p w14:paraId="77D27C74" w14:textId="77777777" w:rsidR="00E930FC" w:rsidRPr="00DC3DC8" w:rsidRDefault="00E930FC" w:rsidP="00E930FC">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Anita Strmljan (</w:t>
      </w:r>
      <w:hyperlink r:id="rId12" w:history="1">
        <w:r w:rsidRPr="00DC3DC8">
          <w:rPr>
            <w:rFonts w:ascii="Calibri" w:eastAsia="Times New Roman" w:hAnsi="Calibri" w:cs="Arial"/>
            <w:color w:val="0000FF"/>
            <w:u w:val="single"/>
            <w:lang w:eastAsia="sl-SI"/>
          </w:rPr>
          <w:t>anita.strmljan@zzzs.si</w:t>
        </w:r>
      </w:hyperlink>
      <w:r w:rsidRPr="00DC3DC8">
        <w:rPr>
          <w:rFonts w:ascii="Calibri" w:eastAsia="Times New Roman" w:hAnsi="Calibri" w:cs="Arial"/>
          <w:lang w:eastAsia="sl-SI"/>
        </w:rPr>
        <w:t xml:space="preserve"> 01/30-77-522)</w:t>
      </w:r>
    </w:p>
    <w:p w14:paraId="60FD59E3" w14:textId="77777777" w:rsidR="00E930FC" w:rsidRPr="00DC3DC8" w:rsidRDefault="00E930FC" w:rsidP="00E930FC">
      <w:pPr>
        <w:widowControl w:val="0"/>
        <w:suppressAutoHyphens/>
        <w:spacing w:after="0" w:line="240" w:lineRule="auto"/>
        <w:jc w:val="both"/>
        <w:rPr>
          <w:rFonts w:ascii="Calibri" w:eastAsia="Times New Roman" w:hAnsi="Calibri" w:cs="Arial"/>
          <w:lang w:eastAsia="sl-SI"/>
        </w:rPr>
      </w:pPr>
    </w:p>
    <w:p w14:paraId="67957AEF" w14:textId="77777777" w:rsidR="00E930FC" w:rsidRPr="00DC3DC8" w:rsidRDefault="00E930FC" w:rsidP="00CE2142">
      <w:pPr>
        <w:spacing w:after="0" w:line="240" w:lineRule="auto"/>
        <w:jc w:val="both"/>
        <w:rPr>
          <w:rFonts w:ascii="Calibri" w:eastAsia="Times New Roman" w:hAnsi="Calibri" w:cs="Calibri"/>
        </w:rPr>
      </w:pPr>
    </w:p>
    <w:p w14:paraId="2304283D" w14:textId="77777777" w:rsidR="00713F16" w:rsidRPr="00DC3DC8" w:rsidRDefault="00713F16" w:rsidP="00CE2142">
      <w:pPr>
        <w:spacing w:after="0" w:line="240" w:lineRule="auto"/>
        <w:jc w:val="both"/>
        <w:rPr>
          <w:rFonts w:ascii="Calibri" w:eastAsia="Times New Roman" w:hAnsi="Calibri" w:cs="Calibri"/>
        </w:rPr>
      </w:pPr>
    </w:p>
    <w:p w14:paraId="56327E06" w14:textId="276760ED" w:rsidR="00037C2D" w:rsidRPr="00DC3DC8" w:rsidRDefault="00E82685" w:rsidP="00037C2D">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7" w:name="_Toc125701143"/>
      <w:r w:rsidRPr="00DC3DC8">
        <w:rPr>
          <w:rFonts w:ascii="Calibri" w:eastAsia="Times New Roman" w:hAnsi="Calibri" w:cs="Calibri"/>
          <w:b/>
          <w:color w:val="0070C0"/>
          <w:sz w:val="28"/>
          <w:szCs w:val="28"/>
        </w:rPr>
        <w:t>Revmatologija – sprememba pravil beleženja specifičnih storitev ob pregledu s 1. 3. 2023</w:t>
      </w:r>
      <w:bookmarkEnd w:id="7"/>
    </w:p>
    <w:p w14:paraId="24188E25" w14:textId="77777777" w:rsidR="00E82685" w:rsidRPr="00DC3DC8" w:rsidRDefault="00E82685" w:rsidP="00E82685">
      <w:pPr>
        <w:spacing w:after="0" w:line="240" w:lineRule="auto"/>
        <w:jc w:val="both"/>
        <w:rPr>
          <w:rFonts w:ascii="Calibri" w:eastAsia="Times New Roman" w:hAnsi="Calibri" w:cs="Arial"/>
          <w:i/>
          <w:color w:val="0070C0"/>
          <w:lang w:eastAsia="sl-SI"/>
        </w:rPr>
      </w:pPr>
    </w:p>
    <w:p w14:paraId="499BE0C2" w14:textId="7BEBE762" w:rsidR="00E82685" w:rsidRPr="00DC3DC8" w:rsidRDefault="00E82685" w:rsidP="00E82685">
      <w:pPr>
        <w:spacing w:after="0" w:line="240" w:lineRule="auto"/>
        <w:jc w:val="both"/>
        <w:rPr>
          <w:rFonts w:ascii="Calibri" w:eastAsia="Times New Roman" w:hAnsi="Calibri" w:cs="Arial"/>
          <w:i/>
          <w:color w:val="0070C0"/>
          <w:lang w:eastAsia="sl-SI"/>
        </w:rPr>
      </w:pPr>
      <w:r w:rsidRPr="00DC3DC8">
        <w:rPr>
          <w:rFonts w:ascii="Calibri" w:eastAsia="Times New Roman" w:hAnsi="Calibri" w:cs="Arial"/>
          <w:i/>
          <w:color w:val="0070C0"/>
          <w:lang w:eastAsia="sl-SI"/>
        </w:rPr>
        <w:t>Vsem izvajalcem specialistične zunajbolnišnične dejavnosti revmatologije</w:t>
      </w:r>
    </w:p>
    <w:p w14:paraId="7C0A4100" w14:textId="77777777" w:rsidR="00E82685" w:rsidRPr="00DC3DC8" w:rsidRDefault="00E82685" w:rsidP="00E82685">
      <w:pPr>
        <w:spacing w:after="0" w:line="240" w:lineRule="auto"/>
        <w:jc w:val="both"/>
        <w:rPr>
          <w:rFonts w:ascii="Calibri" w:eastAsia="Times New Roman" w:hAnsi="Calibri" w:cs="Calibri"/>
          <w:lang w:eastAsia="sl-SI"/>
        </w:rPr>
      </w:pPr>
    </w:p>
    <w:p w14:paraId="306C84A1" w14:textId="77777777" w:rsidR="00E82685" w:rsidRPr="00DC3DC8" w:rsidRDefault="00E82685" w:rsidP="00E82685">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4E28D00E" w14:textId="77777777" w:rsidR="00E82685" w:rsidRPr="00DC3DC8" w:rsidRDefault="00E82685" w:rsidP="00E82685">
      <w:pPr>
        <w:spacing w:after="0" w:line="240" w:lineRule="auto"/>
        <w:jc w:val="both"/>
        <w:rPr>
          <w:rFonts w:ascii="Calibri" w:eastAsia="Times New Roman" w:hAnsi="Calibri" w:cs="Calibri"/>
          <w:lang w:eastAsia="sl-SI"/>
        </w:rPr>
      </w:pPr>
    </w:p>
    <w:p w14:paraId="0EC29270" w14:textId="77777777" w:rsidR="00E82685" w:rsidRPr="00DC3DC8" w:rsidRDefault="00E82685" w:rsidP="00E82685">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z Okrožnico ZAE 9/19 uvedel nov seznam storitev revmatologije, pri čemer je med drugim opredelil, da se</w:t>
      </w:r>
      <w:r w:rsidRPr="00DC3DC8">
        <w:rPr>
          <w:rFonts w:ascii="Calibri" w:eastAsia="Calibri" w:hAnsi="Calibri" w:cs="Arial"/>
          <w:lang w:eastAsia="sl-SI"/>
        </w:rPr>
        <w:t xml:space="preserve"> </w:t>
      </w:r>
      <w:r w:rsidRPr="00DC3DC8">
        <w:rPr>
          <w:rFonts w:ascii="Calibri" w:eastAsia="Times New Roman" w:hAnsi="Calibri" w:cs="Calibri"/>
          <w:lang w:eastAsia="sl-SI"/>
        </w:rPr>
        <w:t>poleg celotnega (REV001) ali delnega pregleda (REV002) lahko evidentirata največ dve dodatni specifični storitvi.</w:t>
      </w:r>
    </w:p>
    <w:p w14:paraId="597894FF" w14:textId="77777777" w:rsidR="00E82685" w:rsidRPr="00DC3DC8" w:rsidRDefault="00E82685" w:rsidP="00E82685">
      <w:pPr>
        <w:spacing w:after="0" w:line="240" w:lineRule="auto"/>
        <w:jc w:val="both"/>
        <w:rPr>
          <w:rFonts w:ascii="Calibri" w:eastAsia="Times New Roman" w:hAnsi="Calibri" w:cs="Calibri"/>
          <w:lang w:eastAsia="sl-SI"/>
        </w:rPr>
      </w:pPr>
    </w:p>
    <w:p w14:paraId="01F8F154" w14:textId="77777777" w:rsidR="00E82685" w:rsidRPr="00DC3DC8" w:rsidRDefault="00E82685" w:rsidP="00E82685">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 tokratno okrožnico spreminjamo navedena pravila obračuna tako, da se ob celotnem pregledu lahko obračunajo največ 4 dodatne specifične storitve, ob delnem pregledu pa največ 3.</w:t>
      </w:r>
    </w:p>
    <w:p w14:paraId="464ECC34" w14:textId="77777777" w:rsidR="00E82685" w:rsidRPr="00DC3DC8" w:rsidRDefault="00E82685" w:rsidP="00E82685">
      <w:pPr>
        <w:spacing w:after="0" w:line="240" w:lineRule="auto"/>
        <w:jc w:val="both"/>
        <w:rPr>
          <w:rFonts w:ascii="Calibri" w:eastAsia="Times New Roman" w:hAnsi="Calibri" w:cs="Calibri"/>
          <w:lang w:eastAsia="sl-SI"/>
        </w:rPr>
      </w:pPr>
    </w:p>
    <w:p w14:paraId="57FCB292" w14:textId="77777777" w:rsidR="00E82685" w:rsidRPr="00DC3DC8" w:rsidRDefault="00E82685" w:rsidP="00E82685">
      <w:pPr>
        <w:spacing w:after="0" w:line="240" w:lineRule="auto"/>
        <w:jc w:val="both"/>
        <w:rPr>
          <w:rFonts w:ascii="Calibri" w:hAnsi="Calibri"/>
          <w:b/>
          <w:bCs/>
        </w:rPr>
      </w:pPr>
      <w:r w:rsidRPr="00DC3DC8">
        <w:rPr>
          <w:rFonts w:ascii="Calibri" w:hAnsi="Calibri"/>
          <w:b/>
          <w:bCs/>
        </w:rPr>
        <w:t>Navodilo za obračun</w:t>
      </w:r>
    </w:p>
    <w:p w14:paraId="145B670E" w14:textId="77777777" w:rsidR="00E82685" w:rsidRPr="00DC3DC8" w:rsidRDefault="00E82685" w:rsidP="00E82685">
      <w:pPr>
        <w:spacing w:after="0" w:line="240" w:lineRule="auto"/>
        <w:jc w:val="both"/>
        <w:rPr>
          <w:rFonts w:ascii="Calibri" w:eastAsia="Times New Roman" w:hAnsi="Calibri" w:cs="Calibri"/>
          <w:lang w:eastAsia="sl-SI"/>
        </w:rPr>
      </w:pPr>
    </w:p>
    <w:p w14:paraId="118D39AA" w14:textId="77777777" w:rsidR="00E82685" w:rsidRPr="00DC3DC8" w:rsidRDefault="00E82685" w:rsidP="00E82685">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Skladno z navedenim v povezovalnem šifrantu K14.1 »Izključujoče in soodvisne storitve v okviru ene obravnave z vključenimi pravili obračunavanja« pri kontroli ROB 0387 spreminjamo sklopa 1 in 2 tako, da se poleg celotnega pregleda (REV001) lahko obračunajo največ 4 dodatne specifične storitve, poleg delnega pregleda (REV002) pa največ 3.</w:t>
      </w:r>
    </w:p>
    <w:p w14:paraId="71E9DD5C" w14:textId="77777777" w:rsidR="00E82685" w:rsidRPr="00DC3DC8" w:rsidRDefault="00E82685" w:rsidP="00E82685">
      <w:pPr>
        <w:spacing w:after="0" w:line="240" w:lineRule="auto"/>
        <w:rPr>
          <w:rFonts w:ascii="Calibri" w:eastAsia="Times New Roman" w:hAnsi="Calibri" w:cs="Calibri"/>
          <w:lang w:eastAsia="sl-SI"/>
        </w:rPr>
      </w:pPr>
    </w:p>
    <w:p w14:paraId="33DE11E0" w14:textId="77777777" w:rsidR="00E82685" w:rsidRPr="00DC3DC8" w:rsidRDefault="00E82685" w:rsidP="00E82685">
      <w:pPr>
        <w:spacing w:after="0" w:line="240" w:lineRule="auto"/>
        <w:jc w:val="both"/>
        <w:rPr>
          <w:rFonts w:ascii="Calibri" w:eastAsia="Calibri" w:hAnsi="Calibri" w:cs="Arial"/>
          <w:color w:val="000000"/>
        </w:rPr>
      </w:pPr>
    </w:p>
    <w:p w14:paraId="6960972A" w14:textId="77777777" w:rsidR="00E82685" w:rsidRPr="00DC3DC8" w:rsidRDefault="00E82685" w:rsidP="00E82685">
      <w:pPr>
        <w:spacing w:after="0" w:line="240" w:lineRule="auto"/>
        <w:jc w:val="both"/>
        <w:rPr>
          <w:rFonts w:ascii="Calibri" w:eastAsia="Calibri" w:hAnsi="Calibri" w:cs="Arial"/>
          <w:color w:val="000000"/>
        </w:rPr>
      </w:pPr>
      <w:r w:rsidRPr="00DC3DC8">
        <w:rPr>
          <w:rFonts w:ascii="Calibri" w:eastAsia="Calibri" w:hAnsi="Calibri" w:cs="Arial"/>
          <w:color w:val="000000"/>
        </w:rPr>
        <w:t>Spremembe veljajo za storitve, opravljene od 1. 3. 2023 dalje.</w:t>
      </w:r>
    </w:p>
    <w:p w14:paraId="39940977" w14:textId="77777777" w:rsidR="00E82685" w:rsidRPr="00DC3DC8" w:rsidRDefault="00E82685" w:rsidP="00E82685">
      <w:pPr>
        <w:spacing w:after="0" w:line="240" w:lineRule="auto"/>
        <w:jc w:val="both"/>
        <w:rPr>
          <w:rFonts w:ascii="Calibri" w:eastAsia="Calibri" w:hAnsi="Calibri" w:cs="Arial"/>
          <w:color w:val="000000"/>
        </w:rPr>
      </w:pPr>
    </w:p>
    <w:p w14:paraId="7F3BE096" w14:textId="77777777" w:rsidR="00E82685" w:rsidRPr="00DC3DC8" w:rsidRDefault="00E82685" w:rsidP="00E82685">
      <w:pPr>
        <w:spacing w:after="0" w:line="240" w:lineRule="auto"/>
        <w:jc w:val="both"/>
        <w:rPr>
          <w:rFonts w:ascii="Calibri" w:eastAsia="Calibri" w:hAnsi="Calibri" w:cs="Arial"/>
          <w:color w:val="000000"/>
        </w:rPr>
      </w:pPr>
      <w:r w:rsidRPr="00DC3DC8">
        <w:rPr>
          <w:rFonts w:ascii="Calibri" w:eastAsia="Calibri" w:hAnsi="Calibri" w:cs="Arial"/>
          <w:color w:val="000000"/>
        </w:rPr>
        <w:t>Kontaktna oseba za vsebinska vprašanja:</w:t>
      </w:r>
    </w:p>
    <w:p w14:paraId="3723C9D6" w14:textId="77777777" w:rsidR="00E82685" w:rsidRPr="00DC3DC8" w:rsidRDefault="00E82685" w:rsidP="00E82685">
      <w:pPr>
        <w:spacing w:after="0" w:line="240" w:lineRule="auto"/>
        <w:rPr>
          <w:rFonts w:ascii="Calibri" w:eastAsia="Calibri" w:hAnsi="Calibri" w:cs="Arial"/>
          <w:color w:val="000000"/>
        </w:rPr>
      </w:pPr>
      <w:r w:rsidRPr="00DC3DC8">
        <w:rPr>
          <w:rFonts w:ascii="Calibri" w:eastAsia="Calibri" w:hAnsi="Calibri" w:cs="Arial"/>
          <w:color w:val="000000"/>
        </w:rPr>
        <w:t>Jakob Ceglar (</w:t>
      </w:r>
      <w:hyperlink r:id="rId13" w:history="1">
        <w:r w:rsidRPr="00DC3DC8">
          <w:rPr>
            <w:rStyle w:val="Hiperpovezava"/>
            <w:rFonts w:ascii="Calibri" w:eastAsia="Calibri" w:hAnsi="Calibri" w:cs="Arial"/>
          </w:rPr>
          <w:t>jakob.ceglar@zzzs.si</w:t>
        </w:r>
      </w:hyperlink>
      <w:r w:rsidRPr="00DC3DC8">
        <w:rPr>
          <w:rFonts w:ascii="Calibri" w:eastAsia="Calibri" w:hAnsi="Calibri" w:cs="Arial"/>
          <w:color w:val="000000"/>
        </w:rPr>
        <w:t>; 01/30-77-523)</w:t>
      </w:r>
    </w:p>
    <w:p w14:paraId="6CA720D6" w14:textId="2802D717" w:rsidR="00872A83" w:rsidRPr="00DC3DC8" w:rsidRDefault="00872A83" w:rsidP="00037C2D">
      <w:pPr>
        <w:spacing w:after="0" w:line="240" w:lineRule="auto"/>
        <w:jc w:val="both"/>
        <w:rPr>
          <w:rFonts w:ascii="Calibri" w:eastAsia="Times New Roman" w:hAnsi="Calibri" w:cs="Calibri"/>
        </w:rPr>
      </w:pPr>
    </w:p>
    <w:p w14:paraId="10025E95" w14:textId="45F329B5" w:rsidR="00E930FC" w:rsidRPr="00DC3DC8" w:rsidRDefault="00E930FC" w:rsidP="00037C2D">
      <w:pPr>
        <w:spacing w:after="0" w:line="240" w:lineRule="auto"/>
        <w:jc w:val="both"/>
        <w:rPr>
          <w:rFonts w:ascii="Calibri" w:eastAsia="Times New Roman" w:hAnsi="Calibri" w:cs="Calibri"/>
        </w:rPr>
      </w:pPr>
    </w:p>
    <w:p w14:paraId="1C93EBB5" w14:textId="77777777" w:rsidR="00E930FC" w:rsidRPr="00DC3DC8" w:rsidRDefault="00E930FC" w:rsidP="00037C2D">
      <w:pPr>
        <w:spacing w:after="0" w:line="240" w:lineRule="auto"/>
        <w:jc w:val="both"/>
        <w:rPr>
          <w:rFonts w:ascii="Calibri" w:eastAsia="Times New Roman" w:hAnsi="Calibri" w:cs="Calibri"/>
        </w:rPr>
      </w:pPr>
    </w:p>
    <w:p w14:paraId="62F5D0EC" w14:textId="77777777" w:rsidR="00872A83" w:rsidRPr="00DC3DC8" w:rsidRDefault="00872A83" w:rsidP="00872A83">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8" w:name="_Toc125701144"/>
      <w:r w:rsidRPr="00DC3DC8">
        <w:rPr>
          <w:rFonts w:ascii="Calibri" w:eastAsia="Times New Roman" w:hAnsi="Calibri" w:cs="Calibri"/>
          <w:b/>
          <w:color w:val="0070C0"/>
          <w:sz w:val="28"/>
          <w:szCs w:val="28"/>
        </w:rPr>
        <w:t>Pnevmologija – sprememba maksimalno dovoljenega števila storitev na obravnavo pri alergenih za podkožno imunoterapijo (Q0319 in Q0320) ter pri storitvi PUL013 »Kožni vbodni ali intradermalni testi alergije« s 1. 3. 2023</w:t>
      </w:r>
      <w:bookmarkEnd w:id="8"/>
    </w:p>
    <w:p w14:paraId="0B5CD417" w14:textId="77777777" w:rsidR="00872A83" w:rsidRPr="00DC3DC8" w:rsidRDefault="00872A83" w:rsidP="00872A83">
      <w:pPr>
        <w:spacing w:after="0" w:line="240" w:lineRule="auto"/>
        <w:rPr>
          <w:rFonts w:ascii="Arial" w:eastAsia="Times New Roman" w:hAnsi="Arial" w:cs="Arial"/>
          <w:sz w:val="24"/>
          <w:szCs w:val="24"/>
          <w:lang w:eastAsia="sl-SI"/>
        </w:rPr>
      </w:pPr>
    </w:p>
    <w:p w14:paraId="03412E7B" w14:textId="77777777" w:rsidR="00872A83" w:rsidRPr="00DC3DC8" w:rsidRDefault="00872A83" w:rsidP="00872A83">
      <w:pPr>
        <w:spacing w:after="0" w:line="240" w:lineRule="auto"/>
        <w:jc w:val="both"/>
        <w:rPr>
          <w:rFonts w:ascii="Calibri" w:eastAsia="Times New Roman" w:hAnsi="Calibri" w:cs="Arial"/>
          <w:i/>
          <w:color w:val="0070C0"/>
          <w:lang w:eastAsia="sl-SI"/>
        </w:rPr>
      </w:pPr>
      <w:r w:rsidRPr="00DC3DC8">
        <w:rPr>
          <w:rFonts w:ascii="Calibri" w:eastAsia="Times New Roman" w:hAnsi="Calibri" w:cs="Arial"/>
          <w:i/>
          <w:color w:val="0070C0"/>
          <w:lang w:eastAsia="sl-SI"/>
        </w:rPr>
        <w:t>Vsem izvajalcem specialistične zunajbolnišnične zdravstvene dejavnosti pnevmologije</w:t>
      </w:r>
    </w:p>
    <w:p w14:paraId="76A0DA08" w14:textId="77777777" w:rsidR="00872A83" w:rsidRPr="00DC3DC8" w:rsidRDefault="00872A83" w:rsidP="00872A83">
      <w:pPr>
        <w:spacing w:after="0" w:line="240" w:lineRule="auto"/>
        <w:jc w:val="both"/>
        <w:rPr>
          <w:rFonts w:ascii="Calibri" w:eastAsia="Times New Roman" w:hAnsi="Calibri" w:cs="Calibri"/>
          <w:lang w:eastAsia="sl-SI"/>
        </w:rPr>
      </w:pPr>
    </w:p>
    <w:p w14:paraId="13D94B57" w14:textId="77777777" w:rsidR="00872A83" w:rsidRPr="00DC3DC8" w:rsidRDefault="00872A83" w:rsidP="00872A83">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122BF857" w14:textId="77777777" w:rsidR="00872A83" w:rsidRPr="00DC3DC8" w:rsidRDefault="00872A83" w:rsidP="00872A83">
      <w:pPr>
        <w:spacing w:after="0" w:line="240" w:lineRule="auto"/>
        <w:jc w:val="both"/>
        <w:rPr>
          <w:rFonts w:ascii="Calibri" w:eastAsia="Times New Roman" w:hAnsi="Calibri" w:cs="Calibri"/>
          <w:lang w:eastAsia="sl-SI"/>
        </w:rPr>
      </w:pPr>
    </w:p>
    <w:p w14:paraId="3BE2C9C5" w14:textId="77777777" w:rsidR="00872A83" w:rsidRPr="00DC3DC8" w:rsidRDefault="00872A83" w:rsidP="00872A83">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z Okrožnico ZAE 18/22 uvedel nov seznam storitev pnevmologije, s tokratno okrožnico pa storitvam Q0319 »Alergeni za podkožno imunoterapijo–cenejši«, Q0320 »Alergeni za podkožno imunoterapijo–dražji« in PUL013 »Kožni vbodni ali intradermalni testi alergije« spreminjamo</w:t>
      </w:r>
      <w:r w:rsidRPr="00DC3DC8">
        <w:t xml:space="preserve"> </w:t>
      </w:r>
      <w:r w:rsidRPr="00DC3DC8">
        <w:rPr>
          <w:rFonts w:ascii="Calibri" w:eastAsia="Times New Roman" w:hAnsi="Calibri" w:cs="Calibri"/>
          <w:lang w:eastAsia="sl-SI"/>
        </w:rPr>
        <w:t>maksimalno dovoljeno število storitev na obravnavo iz 1 na 2.</w:t>
      </w:r>
    </w:p>
    <w:p w14:paraId="48D0F143" w14:textId="209827C7" w:rsidR="00713F16" w:rsidRPr="00DC3DC8" w:rsidRDefault="00713F16" w:rsidP="00872A83">
      <w:pPr>
        <w:spacing w:after="0" w:line="240" w:lineRule="auto"/>
        <w:jc w:val="both"/>
        <w:rPr>
          <w:rFonts w:ascii="Calibri" w:eastAsia="Times New Roman" w:hAnsi="Calibri" w:cs="Calibri"/>
          <w:lang w:eastAsia="sl-SI"/>
        </w:rPr>
      </w:pPr>
    </w:p>
    <w:p w14:paraId="083AB99D" w14:textId="4FEF77FA" w:rsidR="00C53AD8" w:rsidRPr="00DC3DC8" w:rsidRDefault="00C53AD8" w:rsidP="00872A83">
      <w:pPr>
        <w:spacing w:after="0" w:line="240" w:lineRule="auto"/>
        <w:jc w:val="both"/>
        <w:rPr>
          <w:rFonts w:ascii="Calibri" w:eastAsia="Times New Roman" w:hAnsi="Calibri" w:cs="Calibri"/>
          <w:lang w:eastAsia="sl-SI"/>
        </w:rPr>
      </w:pPr>
    </w:p>
    <w:p w14:paraId="30DA97A6" w14:textId="77777777" w:rsidR="00C53AD8" w:rsidRPr="00DC3DC8" w:rsidRDefault="00C53AD8" w:rsidP="00872A83">
      <w:pPr>
        <w:spacing w:after="0" w:line="240" w:lineRule="auto"/>
        <w:jc w:val="both"/>
        <w:rPr>
          <w:rFonts w:ascii="Calibri" w:eastAsia="Times New Roman" w:hAnsi="Calibri" w:cs="Calibri"/>
          <w:lang w:eastAsia="sl-SI"/>
        </w:rPr>
      </w:pPr>
    </w:p>
    <w:p w14:paraId="2A60E5E0" w14:textId="77777777" w:rsidR="00872A83" w:rsidRPr="00DC3DC8" w:rsidRDefault="00872A83" w:rsidP="00872A83">
      <w:pPr>
        <w:spacing w:after="0" w:line="240" w:lineRule="auto"/>
        <w:jc w:val="both"/>
        <w:rPr>
          <w:rFonts w:ascii="Calibri" w:hAnsi="Calibri"/>
          <w:b/>
          <w:bCs/>
        </w:rPr>
      </w:pPr>
      <w:r w:rsidRPr="00DC3DC8">
        <w:rPr>
          <w:rFonts w:ascii="Calibri" w:hAnsi="Calibri"/>
          <w:b/>
          <w:bCs/>
        </w:rPr>
        <w:lastRenderedPageBreak/>
        <w:t>Navodilo za obračun</w:t>
      </w:r>
    </w:p>
    <w:p w14:paraId="625F7E64" w14:textId="77777777" w:rsidR="00872A83" w:rsidRPr="00DC3DC8" w:rsidRDefault="00872A83" w:rsidP="00872A83">
      <w:pPr>
        <w:spacing w:after="0" w:line="240" w:lineRule="auto"/>
        <w:jc w:val="both"/>
        <w:rPr>
          <w:rFonts w:ascii="Calibri" w:eastAsia="Times New Roman" w:hAnsi="Calibri" w:cs="Calibri"/>
          <w:lang w:eastAsia="sl-SI"/>
        </w:rPr>
      </w:pPr>
    </w:p>
    <w:p w14:paraId="0480AF21" w14:textId="77777777" w:rsidR="00872A83" w:rsidRPr="00DC3DC8" w:rsidRDefault="00872A83" w:rsidP="00872A83">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Skladno z navedenim spreminjamo naslednja seznama storitev kot sledi (označeno s krepko pisavo):</w:t>
      </w:r>
    </w:p>
    <w:p w14:paraId="2D46F9ED" w14:textId="16EECD2C" w:rsidR="00872A83" w:rsidRPr="00DC3DC8" w:rsidRDefault="00872A83" w:rsidP="00872A83">
      <w:pPr>
        <w:spacing w:after="0" w:line="240" w:lineRule="auto"/>
        <w:jc w:val="both"/>
        <w:rPr>
          <w:rFonts w:ascii="Calibri" w:eastAsia="Times New Roman" w:hAnsi="Calibri" w:cs="Calibri"/>
          <w:lang w:eastAsia="sl-SI"/>
        </w:rPr>
      </w:pPr>
    </w:p>
    <w:p w14:paraId="28C68FFA" w14:textId="790AC5BA" w:rsidR="00872A83" w:rsidRPr="00DC3DC8" w:rsidRDefault="00872A83" w:rsidP="00872A83">
      <w:pPr>
        <w:numPr>
          <w:ilvl w:val="0"/>
          <w:numId w:val="14"/>
        </w:numPr>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15.28 »Ločeno zaračunljivi material in storitve (LZM)«</w:t>
      </w:r>
    </w:p>
    <w:p w14:paraId="648E23BD" w14:textId="77777777" w:rsidR="00872A83" w:rsidRPr="00DC3DC8" w:rsidRDefault="00872A83" w:rsidP="00872A83">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757"/>
        <w:gridCol w:w="2073"/>
        <w:gridCol w:w="2977"/>
        <w:gridCol w:w="1559"/>
        <w:gridCol w:w="2037"/>
      </w:tblGrid>
      <w:tr w:rsidR="00872A83" w:rsidRPr="00DC3DC8" w14:paraId="16F631F4" w14:textId="77777777" w:rsidTr="0024223A">
        <w:tc>
          <w:tcPr>
            <w:tcW w:w="757" w:type="dxa"/>
          </w:tcPr>
          <w:p w14:paraId="3BFDF329"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Šifra</w:t>
            </w:r>
          </w:p>
        </w:tc>
        <w:tc>
          <w:tcPr>
            <w:tcW w:w="2073" w:type="dxa"/>
          </w:tcPr>
          <w:p w14:paraId="18663C25"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Kratek opis</w:t>
            </w:r>
          </w:p>
        </w:tc>
        <w:tc>
          <w:tcPr>
            <w:tcW w:w="2977" w:type="dxa"/>
          </w:tcPr>
          <w:p w14:paraId="251E1F86"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Dolg opis</w:t>
            </w:r>
          </w:p>
        </w:tc>
        <w:tc>
          <w:tcPr>
            <w:tcW w:w="1559" w:type="dxa"/>
          </w:tcPr>
          <w:p w14:paraId="0FAC277B" w14:textId="77777777" w:rsidR="00872A83" w:rsidRPr="00DC3DC8" w:rsidRDefault="00872A83" w:rsidP="00872A83">
            <w:pPr>
              <w:jc w:val="cente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Oznaka količine (1 - kol. je 1; 2 - dejanska kol.)</w:t>
            </w:r>
          </w:p>
        </w:tc>
        <w:tc>
          <w:tcPr>
            <w:tcW w:w="2037" w:type="dxa"/>
          </w:tcPr>
          <w:p w14:paraId="5A735E51" w14:textId="77777777" w:rsidR="00872A83" w:rsidRPr="00DC3DC8" w:rsidRDefault="00872A83" w:rsidP="00872A83">
            <w:pPr>
              <w:jc w:val="cente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Maksimalno dovoljeno št. storitev na obravnavo</w:t>
            </w:r>
          </w:p>
        </w:tc>
      </w:tr>
      <w:tr w:rsidR="00872A83" w:rsidRPr="00DC3DC8" w14:paraId="7AC84535" w14:textId="77777777" w:rsidTr="0024223A">
        <w:tc>
          <w:tcPr>
            <w:tcW w:w="757" w:type="dxa"/>
          </w:tcPr>
          <w:p w14:paraId="7DE72006"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Q0319</w:t>
            </w:r>
          </w:p>
        </w:tc>
        <w:tc>
          <w:tcPr>
            <w:tcW w:w="2073" w:type="dxa"/>
          </w:tcPr>
          <w:p w14:paraId="26C483D6" w14:textId="77777777" w:rsidR="00872A83" w:rsidRPr="00DC3DC8" w:rsidRDefault="00872A83" w:rsidP="00872A83">
            <w:pP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Alergeni za podkožno imunoterapijo–cenejši</w:t>
            </w:r>
          </w:p>
        </w:tc>
        <w:tc>
          <w:tcPr>
            <w:tcW w:w="2977" w:type="dxa"/>
          </w:tcPr>
          <w:p w14:paraId="5C0273BE"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Alergeni za podkožno imunoterapijo – cenejši (purethal, venomenthal, alutard uvajanje)</w:t>
            </w:r>
          </w:p>
        </w:tc>
        <w:tc>
          <w:tcPr>
            <w:tcW w:w="1559" w:type="dxa"/>
          </w:tcPr>
          <w:p w14:paraId="651F3968"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79EA2E82"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z w:val="20"/>
                <w:szCs w:val="20"/>
                <w:lang w:eastAsia="sl-SI"/>
              </w:rPr>
              <w:t>2</w:t>
            </w:r>
          </w:p>
        </w:tc>
        <w:tc>
          <w:tcPr>
            <w:tcW w:w="2037" w:type="dxa"/>
          </w:tcPr>
          <w:p w14:paraId="2807285D"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35A44A6F" w14:textId="77777777" w:rsidR="00872A83" w:rsidRPr="00DC3DC8" w:rsidRDefault="00872A83" w:rsidP="00872A83">
            <w:pPr>
              <w:jc w:val="center"/>
              <w:rPr>
                <w:rFonts w:ascii="Calibri" w:eastAsia="Times New Roman" w:hAnsi="Calibri" w:cs="Calibri"/>
                <w:b/>
                <w:bCs/>
                <w:sz w:val="20"/>
                <w:szCs w:val="20"/>
                <w:lang w:eastAsia="sl-SI"/>
              </w:rPr>
            </w:pPr>
            <w:r w:rsidRPr="00DC3DC8">
              <w:rPr>
                <w:rFonts w:ascii="Calibri" w:eastAsia="Times New Roman" w:hAnsi="Calibri" w:cs="Calibri"/>
                <w:b/>
                <w:bCs/>
                <w:sz w:val="20"/>
                <w:szCs w:val="20"/>
                <w:lang w:eastAsia="sl-SI"/>
              </w:rPr>
              <w:t>2</w:t>
            </w:r>
          </w:p>
        </w:tc>
      </w:tr>
      <w:tr w:rsidR="00872A83" w:rsidRPr="00DC3DC8" w14:paraId="1ABF853A" w14:textId="77777777" w:rsidTr="0024223A">
        <w:tc>
          <w:tcPr>
            <w:tcW w:w="757" w:type="dxa"/>
          </w:tcPr>
          <w:p w14:paraId="70140DFE"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Q0320</w:t>
            </w:r>
          </w:p>
        </w:tc>
        <w:tc>
          <w:tcPr>
            <w:tcW w:w="2073" w:type="dxa"/>
          </w:tcPr>
          <w:p w14:paraId="4C69C056" w14:textId="77777777" w:rsidR="00872A83" w:rsidRPr="00DC3DC8" w:rsidRDefault="00872A83" w:rsidP="00872A83">
            <w:pP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Alergeni za podkožno imunoterapijo–dražji</w:t>
            </w:r>
          </w:p>
        </w:tc>
        <w:tc>
          <w:tcPr>
            <w:tcW w:w="2977" w:type="dxa"/>
          </w:tcPr>
          <w:p w14:paraId="10046ED9"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Alergeni za podkožno imunoterapijo – dražji (alutard vzdrževanje)</w:t>
            </w:r>
          </w:p>
        </w:tc>
        <w:tc>
          <w:tcPr>
            <w:tcW w:w="1559" w:type="dxa"/>
          </w:tcPr>
          <w:p w14:paraId="151D38E0"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1D1BAC23"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z w:val="20"/>
                <w:szCs w:val="20"/>
                <w:lang w:eastAsia="sl-SI"/>
              </w:rPr>
              <w:t>2</w:t>
            </w:r>
          </w:p>
        </w:tc>
        <w:tc>
          <w:tcPr>
            <w:tcW w:w="2037" w:type="dxa"/>
          </w:tcPr>
          <w:p w14:paraId="49A78E7C"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3C1207BC"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z w:val="20"/>
                <w:szCs w:val="20"/>
                <w:lang w:eastAsia="sl-SI"/>
              </w:rPr>
              <w:t>2</w:t>
            </w:r>
          </w:p>
        </w:tc>
      </w:tr>
    </w:tbl>
    <w:p w14:paraId="4066B1F3" w14:textId="77777777" w:rsidR="00872A83" w:rsidRPr="00DC3DC8" w:rsidRDefault="00872A83" w:rsidP="00872A83">
      <w:pPr>
        <w:spacing w:after="0" w:line="240" w:lineRule="auto"/>
        <w:jc w:val="both"/>
        <w:rPr>
          <w:rFonts w:ascii="Calibri" w:eastAsia="Times New Roman" w:hAnsi="Calibri" w:cs="Calibri"/>
          <w:lang w:eastAsia="sl-SI"/>
        </w:rPr>
      </w:pPr>
    </w:p>
    <w:p w14:paraId="3EC593BD" w14:textId="77777777" w:rsidR="00872A83" w:rsidRPr="00DC3DC8" w:rsidRDefault="00872A83" w:rsidP="00872A83">
      <w:pPr>
        <w:numPr>
          <w:ilvl w:val="0"/>
          <w:numId w:val="14"/>
        </w:numPr>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15.86 »Storitve specialistične zunajbolnišnične zdravstvene dejavnosti pnevmologije (229 239)«</w:t>
      </w:r>
    </w:p>
    <w:p w14:paraId="3CC1990B" w14:textId="77777777" w:rsidR="00872A83" w:rsidRPr="00DC3DC8" w:rsidRDefault="00872A83" w:rsidP="00872A83">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836"/>
        <w:gridCol w:w="1327"/>
        <w:gridCol w:w="3678"/>
        <w:gridCol w:w="1545"/>
        <w:gridCol w:w="2017"/>
      </w:tblGrid>
      <w:tr w:rsidR="00872A83" w:rsidRPr="00DC3DC8" w14:paraId="1811FB2E" w14:textId="77777777" w:rsidTr="00ED477F">
        <w:tc>
          <w:tcPr>
            <w:tcW w:w="836" w:type="dxa"/>
          </w:tcPr>
          <w:p w14:paraId="6A191D99"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Šifra</w:t>
            </w:r>
          </w:p>
        </w:tc>
        <w:tc>
          <w:tcPr>
            <w:tcW w:w="1320" w:type="dxa"/>
          </w:tcPr>
          <w:p w14:paraId="60917848"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Kratek opis</w:t>
            </w:r>
          </w:p>
        </w:tc>
        <w:tc>
          <w:tcPr>
            <w:tcW w:w="3682" w:type="dxa"/>
          </w:tcPr>
          <w:p w14:paraId="47C04C1B"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Dolg opis</w:t>
            </w:r>
          </w:p>
        </w:tc>
        <w:tc>
          <w:tcPr>
            <w:tcW w:w="1546" w:type="dxa"/>
          </w:tcPr>
          <w:p w14:paraId="37347B81" w14:textId="77777777" w:rsidR="00872A83" w:rsidRPr="00DC3DC8" w:rsidRDefault="00872A83" w:rsidP="00872A83">
            <w:pPr>
              <w:jc w:val="cente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Oznaka količine (1 - kol. je 1; 2 - dejanska kol.)</w:t>
            </w:r>
          </w:p>
        </w:tc>
        <w:tc>
          <w:tcPr>
            <w:tcW w:w="2019" w:type="dxa"/>
          </w:tcPr>
          <w:p w14:paraId="7372D994" w14:textId="77777777" w:rsidR="00872A83" w:rsidRPr="00DC3DC8" w:rsidRDefault="00872A83" w:rsidP="00872A83">
            <w:pPr>
              <w:jc w:val="cente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Maksimalno dovoljeno št. storitev na obravnavo</w:t>
            </w:r>
          </w:p>
        </w:tc>
      </w:tr>
      <w:tr w:rsidR="00872A83" w:rsidRPr="00DC3DC8" w14:paraId="2BF99638" w14:textId="77777777" w:rsidTr="00ED477F">
        <w:tc>
          <w:tcPr>
            <w:tcW w:w="836" w:type="dxa"/>
          </w:tcPr>
          <w:p w14:paraId="04DDC34B"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PUL013</w:t>
            </w:r>
          </w:p>
        </w:tc>
        <w:tc>
          <w:tcPr>
            <w:tcW w:w="1320" w:type="dxa"/>
          </w:tcPr>
          <w:p w14:paraId="4A99D4D5" w14:textId="77777777" w:rsidR="00872A83" w:rsidRPr="00DC3DC8" w:rsidRDefault="00872A83" w:rsidP="00872A83">
            <w:pPr>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Kožni vbodni ali intradermalni testi alergije</w:t>
            </w:r>
          </w:p>
        </w:tc>
        <w:tc>
          <w:tcPr>
            <w:tcW w:w="3682" w:type="dxa"/>
          </w:tcPr>
          <w:p w14:paraId="0A86DF40"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"Kožni vbodni intradermalni testi alergije so testi s serijo alergenov za ugotavljanje takojšnje preobčutljivosti (serija pomeni od 15 do 25 testov z vdihanimi alergeni, od 15 do 25 testov s prehranskimi alergeni ali serijo s strupi žuželk ali serijo testiranj z zdravili (pri zadnjih dveh števila ni potrebno opredeliti). V primeru izvedbe dveh ali več serij, se ta storitev obračuna 2 krat.</w:t>
            </w:r>
          </w:p>
          <w:p w14:paraId="732F54FE" w14:textId="77777777" w:rsidR="00872A83" w:rsidRPr="00DC3DC8" w:rsidRDefault="00872A83" w:rsidP="00872A83">
            <w:pPr>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Storitev izvajata zdravnik specialist in diplomirana medicinska sestra."</w:t>
            </w:r>
          </w:p>
        </w:tc>
        <w:tc>
          <w:tcPr>
            <w:tcW w:w="1546" w:type="dxa"/>
          </w:tcPr>
          <w:p w14:paraId="79DC7DB2"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1ACF0562"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z w:val="20"/>
                <w:szCs w:val="20"/>
                <w:lang w:eastAsia="sl-SI"/>
              </w:rPr>
              <w:t>2</w:t>
            </w:r>
          </w:p>
        </w:tc>
        <w:tc>
          <w:tcPr>
            <w:tcW w:w="2019" w:type="dxa"/>
          </w:tcPr>
          <w:p w14:paraId="130E53DA" w14:textId="77777777" w:rsidR="00872A83" w:rsidRPr="00DC3DC8" w:rsidRDefault="00872A83" w:rsidP="00872A83">
            <w:pPr>
              <w:jc w:val="center"/>
              <w:rPr>
                <w:rFonts w:ascii="Calibri" w:eastAsia="Times New Roman" w:hAnsi="Calibri" w:cs="Calibri"/>
                <w:b/>
                <w:bCs/>
                <w:strike/>
                <w:sz w:val="20"/>
                <w:szCs w:val="20"/>
                <w:lang w:eastAsia="sl-SI"/>
              </w:rPr>
            </w:pPr>
            <w:r w:rsidRPr="00DC3DC8">
              <w:rPr>
                <w:rFonts w:ascii="Calibri" w:eastAsia="Times New Roman" w:hAnsi="Calibri" w:cs="Calibri"/>
                <w:b/>
                <w:bCs/>
                <w:strike/>
                <w:sz w:val="20"/>
                <w:szCs w:val="20"/>
                <w:lang w:eastAsia="sl-SI"/>
              </w:rPr>
              <w:t>1</w:t>
            </w:r>
          </w:p>
          <w:p w14:paraId="27B37E1B" w14:textId="77777777" w:rsidR="00872A83" w:rsidRPr="00DC3DC8" w:rsidRDefault="00872A83" w:rsidP="00872A83">
            <w:pPr>
              <w:jc w:val="center"/>
              <w:rPr>
                <w:rFonts w:ascii="Calibri" w:eastAsia="Times New Roman" w:hAnsi="Calibri" w:cs="Calibri"/>
                <w:b/>
                <w:bCs/>
                <w:sz w:val="20"/>
                <w:szCs w:val="20"/>
                <w:lang w:eastAsia="sl-SI"/>
              </w:rPr>
            </w:pPr>
            <w:r w:rsidRPr="00DC3DC8">
              <w:rPr>
                <w:rFonts w:ascii="Calibri" w:eastAsia="Times New Roman" w:hAnsi="Calibri" w:cs="Calibri"/>
                <w:b/>
                <w:bCs/>
                <w:sz w:val="20"/>
                <w:szCs w:val="20"/>
                <w:lang w:eastAsia="sl-SI"/>
              </w:rPr>
              <w:t>2</w:t>
            </w:r>
          </w:p>
        </w:tc>
      </w:tr>
    </w:tbl>
    <w:p w14:paraId="0F8E0A2C" w14:textId="77777777" w:rsidR="00713F16" w:rsidRPr="00DC3DC8" w:rsidRDefault="00713F16" w:rsidP="00872A83">
      <w:pPr>
        <w:spacing w:after="0" w:line="240" w:lineRule="auto"/>
        <w:jc w:val="both"/>
        <w:rPr>
          <w:rFonts w:ascii="Calibri" w:eastAsia="Calibri" w:hAnsi="Calibri" w:cs="Arial"/>
          <w:color w:val="000000"/>
        </w:rPr>
      </w:pPr>
    </w:p>
    <w:p w14:paraId="4CC5937B" w14:textId="5D89EE76" w:rsidR="00872A83" w:rsidRPr="00DC3DC8" w:rsidRDefault="00872A83" w:rsidP="00872A83">
      <w:pPr>
        <w:spacing w:after="0" w:line="240" w:lineRule="auto"/>
        <w:jc w:val="both"/>
        <w:rPr>
          <w:rFonts w:ascii="Calibri" w:eastAsia="Calibri" w:hAnsi="Calibri" w:cs="Arial"/>
          <w:color w:val="000000"/>
        </w:rPr>
      </w:pPr>
      <w:r w:rsidRPr="00DC3DC8">
        <w:rPr>
          <w:rFonts w:ascii="Calibri" w:eastAsia="Calibri" w:hAnsi="Calibri" w:cs="Arial"/>
          <w:color w:val="000000"/>
        </w:rPr>
        <w:t>Spremembe veljajo za storitve, opravljene od 1. 3. 2023 dalje.</w:t>
      </w:r>
    </w:p>
    <w:p w14:paraId="52B7ABDA" w14:textId="35B39A27" w:rsidR="00872A83" w:rsidRPr="00DC3DC8" w:rsidRDefault="00872A83" w:rsidP="00872A83">
      <w:pPr>
        <w:spacing w:after="0" w:line="240" w:lineRule="auto"/>
        <w:jc w:val="both"/>
        <w:rPr>
          <w:rFonts w:ascii="Calibri" w:eastAsia="Calibri" w:hAnsi="Calibri" w:cs="Arial"/>
          <w:color w:val="000000"/>
        </w:rPr>
      </w:pPr>
    </w:p>
    <w:p w14:paraId="6B489FB0" w14:textId="77777777" w:rsidR="00872A83" w:rsidRPr="00DC3DC8" w:rsidRDefault="00872A83" w:rsidP="00872A83">
      <w:pPr>
        <w:spacing w:after="0" w:line="240" w:lineRule="auto"/>
        <w:jc w:val="both"/>
        <w:rPr>
          <w:rFonts w:ascii="Calibri" w:eastAsia="Calibri" w:hAnsi="Calibri" w:cs="Arial"/>
          <w:color w:val="000000"/>
        </w:rPr>
      </w:pPr>
      <w:r w:rsidRPr="00DC3DC8">
        <w:rPr>
          <w:rFonts w:ascii="Calibri" w:eastAsia="Calibri" w:hAnsi="Calibri" w:cs="Arial"/>
          <w:color w:val="000000"/>
        </w:rPr>
        <w:t>Kontaktni osebi za vsebinska vprašanja:</w:t>
      </w:r>
    </w:p>
    <w:p w14:paraId="5C230671" w14:textId="77777777" w:rsidR="00872A83" w:rsidRPr="00DC3DC8" w:rsidRDefault="00872A83" w:rsidP="00872A83">
      <w:pPr>
        <w:spacing w:after="0" w:line="240" w:lineRule="exact"/>
        <w:rPr>
          <w:rFonts w:ascii="Calibri" w:eastAsia="Times New Roman" w:hAnsi="Calibri" w:cs="Arial"/>
          <w:lang w:eastAsia="sl-SI"/>
        </w:rPr>
      </w:pPr>
      <w:r w:rsidRPr="00DC3DC8">
        <w:rPr>
          <w:rFonts w:ascii="Calibri" w:eastAsia="Times New Roman" w:hAnsi="Calibri" w:cs="Arial"/>
          <w:lang w:eastAsia="sl-SI"/>
        </w:rPr>
        <w:t>Pika Jazbinšek (</w:t>
      </w:r>
      <w:hyperlink r:id="rId14" w:history="1">
        <w:r w:rsidRPr="00DC3DC8">
          <w:rPr>
            <w:rFonts w:ascii="Calibri" w:eastAsia="Times New Roman" w:hAnsi="Calibri" w:cs="Arial"/>
            <w:noProof/>
            <w:color w:val="0000FF"/>
            <w:u w:val="single"/>
            <w:lang w:eastAsia="sl-SI"/>
          </w:rPr>
          <w:t>pika.jazbinsek@zzzs.si</w:t>
        </w:r>
      </w:hyperlink>
      <w:r w:rsidRPr="00DC3DC8">
        <w:rPr>
          <w:rFonts w:ascii="Calibri" w:eastAsia="Times New Roman" w:hAnsi="Calibri" w:cs="Arial"/>
          <w:lang w:eastAsia="sl-SI"/>
        </w:rPr>
        <w:t>; 01/30-77-534)</w:t>
      </w:r>
    </w:p>
    <w:p w14:paraId="38A1741E" w14:textId="1A7377C9" w:rsidR="00872A83" w:rsidRPr="00DC3DC8" w:rsidRDefault="00872A83" w:rsidP="00872A83">
      <w:pPr>
        <w:spacing w:after="0" w:line="240" w:lineRule="auto"/>
        <w:rPr>
          <w:rFonts w:ascii="Calibri" w:eastAsia="Calibri" w:hAnsi="Calibri" w:cs="Arial"/>
          <w:color w:val="000000"/>
        </w:rPr>
      </w:pPr>
      <w:r w:rsidRPr="00DC3DC8">
        <w:rPr>
          <w:rFonts w:ascii="Calibri" w:eastAsia="Calibri" w:hAnsi="Calibri" w:cs="Arial"/>
          <w:color w:val="000000"/>
        </w:rPr>
        <w:t>Jakob Ceglar (</w:t>
      </w:r>
      <w:hyperlink r:id="rId15" w:history="1">
        <w:r w:rsidRPr="00DC3DC8">
          <w:rPr>
            <w:rFonts w:ascii="Calibri" w:eastAsia="Calibri" w:hAnsi="Calibri" w:cs="Arial"/>
            <w:color w:val="0563C1" w:themeColor="hyperlink"/>
            <w:u w:val="single"/>
          </w:rPr>
          <w:t>jakob.ceglar@zzzs.si</w:t>
        </w:r>
      </w:hyperlink>
      <w:r w:rsidRPr="00DC3DC8">
        <w:rPr>
          <w:rFonts w:ascii="Calibri" w:eastAsia="Calibri" w:hAnsi="Calibri" w:cs="Arial"/>
          <w:color w:val="000000"/>
        </w:rPr>
        <w:t>; 01/30-77-523)</w:t>
      </w:r>
    </w:p>
    <w:p w14:paraId="0C3D1B46" w14:textId="4D720462" w:rsidR="00C53AD8" w:rsidRPr="00DC3DC8" w:rsidRDefault="00C53AD8" w:rsidP="00037C2D">
      <w:pPr>
        <w:spacing w:after="0" w:line="240" w:lineRule="auto"/>
        <w:jc w:val="both"/>
        <w:rPr>
          <w:rFonts w:ascii="Calibri" w:eastAsia="Times New Roman" w:hAnsi="Calibri" w:cs="Calibri"/>
        </w:rPr>
      </w:pPr>
    </w:p>
    <w:p w14:paraId="2A1F1438" w14:textId="798AB472" w:rsidR="00C53AD8" w:rsidRPr="00DC3DC8" w:rsidRDefault="00C53AD8" w:rsidP="00037C2D">
      <w:pPr>
        <w:spacing w:after="0" w:line="240" w:lineRule="auto"/>
        <w:jc w:val="both"/>
        <w:rPr>
          <w:rFonts w:ascii="Calibri" w:eastAsia="Times New Roman" w:hAnsi="Calibri" w:cs="Calibri"/>
        </w:rPr>
      </w:pPr>
    </w:p>
    <w:p w14:paraId="59396F20" w14:textId="77777777" w:rsidR="00C53AD8" w:rsidRPr="00DC3DC8" w:rsidRDefault="00C53AD8" w:rsidP="00037C2D">
      <w:pPr>
        <w:spacing w:after="0" w:line="240" w:lineRule="auto"/>
        <w:jc w:val="both"/>
        <w:rPr>
          <w:rFonts w:ascii="Calibri" w:eastAsia="Times New Roman" w:hAnsi="Calibri" w:cs="Calibri"/>
        </w:rPr>
      </w:pPr>
    </w:p>
    <w:p w14:paraId="1FE99682" w14:textId="48D2A5AA" w:rsidR="003801B9" w:rsidRPr="00DC3DC8" w:rsidRDefault="003801B9" w:rsidP="003801B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9" w:name="_Toc95902294"/>
      <w:bookmarkStart w:id="10" w:name="_Toc125701145"/>
      <w:r w:rsidRPr="00DC3DC8">
        <w:rPr>
          <w:rFonts w:ascii="Calibri" w:eastAsia="Times New Roman" w:hAnsi="Calibri" w:cs="Calibri"/>
          <w:b/>
          <w:color w:val="0070C0"/>
          <w:sz w:val="28"/>
          <w:szCs w:val="28"/>
        </w:rPr>
        <w:t>Ambulante za boljšo dostopnost do izbranega osebnega zdravnika</w:t>
      </w:r>
      <w:bookmarkEnd w:id="9"/>
      <w:r w:rsidRPr="00DC3DC8">
        <w:rPr>
          <w:rFonts w:ascii="Calibri" w:eastAsia="Times New Roman" w:hAnsi="Calibri" w:cs="Calibri"/>
          <w:b/>
          <w:color w:val="0070C0"/>
          <w:sz w:val="28"/>
          <w:szCs w:val="28"/>
        </w:rPr>
        <w:t xml:space="preserve"> – sprememba obračuna s 1. 3. 2023</w:t>
      </w:r>
      <w:bookmarkEnd w:id="10"/>
    </w:p>
    <w:p w14:paraId="5F3FC128" w14:textId="77777777" w:rsidR="003801B9" w:rsidRPr="00DC3DC8" w:rsidRDefault="003801B9" w:rsidP="003801B9">
      <w:pPr>
        <w:keepNext/>
        <w:keepLines/>
        <w:spacing w:after="0" w:line="240" w:lineRule="auto"/>
        <w:jc w:val="both"/>
        <w:rPr>
          <w:rFonts w:ascii="Calibri" w:eastAsia="Times New Roman" w:hAnsi="Calibri" w:cs="Arial"/>
          <w:i/>
          <w:color w:val="0070C0"/>
          <w:lang w:eastAsia="sl-SI"/>
        </w:rPr>
      </w:pPr>
    </w:p>
    <w:p w14:paraId="2BE203C2" w14:textId="77777777" w:rsidR="003801B9" w:rsidRPr="00DC3DC8" w:rsidRDefault="003801B9" w:rsidP="003801B9">
      <w:pPr>
        <w:keepNext/>
        <w:keepLines/>
        <w:spacing w:after="0" w:line="240" w:lineRule="auto"/>
        <w:jc w:val="both"/>
        <w:rPr>
          <w:rFonts w:ascii="Calibri" w:eastAsia="Times New Roman" w:hAnsi="Calibri" w:cs="Arial"/>
          <w:i/>
          <w:color w:val="0070C0"/>
          <w:lang w:eastAsia="sl-SI"/>
        </w:rPr>
      </w:pPr>
      <w:r w:rsidRPr="00DC3DC8">
        <w:rPr>
          <w:rFonts w:ascii="Calibri" w:eastAsia="Times New Roman" w:hAnsi="Calibri" w:cs="Arial"/>
          <w:i/>
          <w:color w:val="0070C0"/>
          <w:lang w:eastAsia="sl-SI"/>
        </w:rPr>
        <w:t>Izvajalcem splošnih ambulant za boljšo dostopnost do IOZ ter otroških in šolskih dispanzerjev za boljšo dostopnost do IOZ</w:t>
      </w:r>
    </w:p>
    <w:p w14:paraId="18B6F65B" w14:textId="77777777" w:rsidR="003801B9" w:rsidRPr="00DC3DC8" w:rsidRDefault="003801B9" w:rsidP="003801B9">
      <w:pPr>
        <w:widowControl w:val="0"/>
        <w:suppressAutoHyphens/>
        <w:spacing w:after="0" w:line="240" w:lineRule="auto"/>
        <w:jc w:val="both"/>
        <w:rPr>
          <w:rFonts w:ascii="Calibri" w:eastAsia="Calibri" w:hAnsi="Calibri" w:cs="Arial"/>
          <w:color w:val="000000"/>
        </w:rPr>
      </w:pPr>
    </w:p>
    <w:p w14:paraId="3E15C279" w14:textId="77777777" w:rsidR="003801B9" w:rsidRPr="00DC3DC8" w:rsidRDefault="003801B9" w:rsidP="003801B9">
      <w:pPr>
        <w:spacing w:after="0" w:line="240" w:lineRule="auto"/>
        <w:jc w:val="both"/>
        <w:rPr>
          <w:rFonts w:ascii="Calibri" w:eastAsia="Times New Roman" w:hAnsi="Calibri" w:cs="Calibri"/>
          <w:b/>
          <w:bCs/>
          <w:lang w:eastAsia="sl-SI"/>
        </w:rPr>
      </w:pPr>
      <w:r w:rsidRPr="00DC3DC8">
        <w:rPr>
          <w:rFonts w:ascii="Calibri" w:eastAsia="Times New Roman" w:hAnsi="Calibri" w:cs="Calibri"/>
          <w:b/>
          <w:bCs/>
          <w:lang w:eastAsia="sl-SI"/>
        </w:rPr>
        <w:t>Povzetek vsebine</w:t>
      </w:r>
    </w:p>
    <w:p w14:paraId="63D26563" w14:textId="77777777" w:rsidR="003801B9" w:rsidRPr="00DC3DC8" w:rsidRDefault="003801B9" w:rsidP="003801B9">
      <w:pPr>
        <w:spacing w:after="0" w:line="240" w:lineRule="auto"/>
        <w:jc w:val="both"/>
        <w:rPr>
          <w:rFonts w:ascii="Calibri" w:eastAsia="Times New Roman" w:hAnsi="Calibri" w:cs="Calibri"/>
          <w:lang w:eastAsia="sl-SI"/>
        </w:rPr>
      </w:pPr>
    </w:p>
    <w:p w14:paraId="1988611B"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 xml:space="preserve">Zavod je z Okrožnico ZAE 3/22 opredelil financiranje ambulant za boljšo dostopnost v pavšalu (obračun storitve E0010 »Pavšal«). </w:t>
      </w:r>
    </w:p>
    <w:p w14:paraId="20020FFE" w14:textId="77777777" w:rsidR="003801B9" w:rsidRPr="00DC3DC8" w:rsidRDefault="003801B9" w:rsidP="003801B9">
      <w:pPr>
        <w:spacing w:after="0" w:line="240" w:lineRule="auto"/>
        <w:jc w:val="both"/>
        <w:rPr>
          <w:rFonts w:ascii="Calibri" w:eastAsia="Times New Roman" w:hAnsi="Calibri" w:cs="Calibri"/>
          <w:lang w:eastAsia="sl-SI"/>
        </w:rPr>
      </w:pPr>
    </w:p>
    <w:p w14:paraId="0A2C4C2F"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lastRenderedPageBreak/>
        <w:t>S tokratno okrožnico dopolnjujemo način obračuna, in sicer od 1. 3. 2023 dalje ambulante za boljšo dostopnost poleg pavšala:</w:t>
      </w:r>
    </w:p>
    <w:p w14:paraId="6073506F" w14:textId="77777777" w:rsidR="003801B9" w:rsidRPr="00DC3DC8" w:rsidRDefault="003801B9" w:rsidP="003801B9">
      <w:pPr>
        <w:numPr>
          <w:ilvl w:val="0"/>
          <w:numId w:val="19"/>
        </w:numPr>
        <w:tabs>
          <w:tab w:val="left" w:pos="5670"/>
        </w:tabs>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lahko obračunajo tudi tisti ločeno zaračunljiv material (storitve iz seznama 15.28 »Ločeno zaračunljivi material in storitve (LZM)«), ki ga lahko obračunajo tudi »redne« splošne ambulante oz. otroški in šolski dispanzerji.</w:t>
      </w:r>
      <w:r w:rsidRPr="00DC3DC8">
        <w:rPr>
          <w:rFonts w:ascii="Calibri" w:eastAsia="Calibri" w:hAnsi="Calibri" w:cs="Times New Roman"/>
        </w:rPr>
        <w:t xml:space="preserve"> </w:t>
      </w:r>
      <w:r w:rsidRPr="00DC3DC8">
        <w:rPr>
          <w:rFonts w:ascii="Calibri" w:eastAsia="Times New Roman" w:hAnsi="Calibri" w:cs="Calibri"/>
          <w:lang w:eastAsia="sl-SI"/>
        </w:rPr>
        <w:t>Izjema je storitev Q0242 »ePosvet med zdravniki«, ki se ga v ambulantah za boljšo dostopnost poleg pavšala ne more obračunati. Poleg zdravil iz seznama A in B se lahko obračunajo tudi storitve aplikacije zdravil iz seznama 15.117 »Storitve priprave in aplikacije zdravil iz Seznama A in B«;</w:t>
      </w:r>
    </w:p>
    <w:p w14:paraId="42E1965B" w14:textId="77777777" w:rsidR="003801B9" w:rsidRPr="00DC3DC8" w:rsidRDefault="003801B9" w:rsidP="003801B9">
      <w:pPr>
        <w:spacing w:after="0" w:line="240" w:lineRule="auto"/>
        <w:jc w:val="both"/>
        <w:rPr>
          <w:rFonts w:ascii="Calibri" w:eastAsia="Times New Roman" w:hAnsi="Calibri" w:cs="Calibri"/>
          <w:lang w:eastAsia="sl-SI"/>
        </w:rPr>
      </w:pPr>
    </w:p>
    <w:p w14:paraId="6351E757" w14:textId="4295A45D" w:rsidR="003801B9" w:rsidRPr="00DC3DC8" w:rsidRDefault="003801B9" w:rsidP="003801B9">
      <w:pPr>
        <w:numPr>
          <w:ilvl w:val="0"/>
          <w:numId w:val="19"/>
        </w:numPr>
        <w:tabs>
          <w:tab w:val="left" w:pos="5670"/>
        </w:tabs>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evidenčno obračunajo tudi storitve, ki so jih opravili osebam, ki imajo zavarovanje urejeno v Sloveniji, na evidenčnih obračunih za vse razloge obravnav po nizki ceni količnika iz obiska. Opravljene storitve se beležijo s storitvami iz seznama 15.20 »Storitve v splošnih ambulantah, dispanzerjih za otroke in šolarje ter NMP (302 001-002, 302 036, 302 067, 327 009, 327 011, 327 013, 338 024, 338 040-047, 338 051, 338 062-063)«. Na evidenčnih obračunih se obračuna tudi storitev E0743 »Menjava PEG«.</w:t>
      </w:r>
    </w:p>
    <w:p w14:paraId="5824DCFB" w14:textId="77777777" w:rsidR="003801B9" w:rsidRPr="00DC3DC8" w:rsidRDefault="003801B9" w:rsidP="003801B9">
      <w:pPr>
        <w:spacing w:after="0" w:line="240" w:lineRule="auto"/>
        <w:jc w:val="both"/>
        <w:rPr>
          <w:rFonts w:ascii="Calibri" w:eastAsia="Times New Roman" w:hAnsi="Calibri" w:cs="Calibri"/>
          <w:lang w:eastAsia="sl-SI"/>
        </w:rPr>
      </w:pPr>
    </w:p>
    <w:p w14:paraId="193E6400" w14:textId="0528E79E" w:rsidR="003801B9" w:rsidRPr="00DC3DC8" w:rsidRDefault="003801B9" w:rsidP="003801B9">
      <w:pPr>
        <w:numPr>
          <w:ilvl w:val="0"/>
          <w:numId w:val="19"/>
        </w:numPr>
        <w:tabs>
          <w:tab w:val="left" w:pos="5670"/>
        </w:tabs>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za tuje zavarovane osebe po zakonodaji EU in meddržavnih pogodbah izvajalci izstavljajo Zavodu individualne račune za vse razloge obravnav po visoki ceni količnika iz obiskov v splošni ambulantni dejavnosti.</w:t>
      </w:r>
    </w:p>
    <w:p w14:paraId="098F0D2D" w14:textId="77777777" w:rsidR="003801B9" w:rsidRPr="00DC3DC8" w:rsidRDefault="003801B9" w:rsidP="003801B9">
      <w:pPr>
        <w:spacing w:after="0" w:line="240" w:lineRule="auto"/>
        <w:jc w:val="both"/>
        <w:rPr>
          <w:rFonts w:ascii="Calibri" w:eastAsia="Times New Roman" w:hAnsi="Calibri" w:cs="Calibri"/>
          <w:lang w:eastAsia="sl-SI"/>
        </w:rPr>
      </w:pPr>
    </w:p>
    <w:p w14:paraId="4FF91B2A" w14:textId="74B2948A" w:rsidR="003801B9" w:rsidRPr="00DC3DC8" w:rsidRDefault="003801B9" w:rsidP="003801B9">
      <w:pPr>
        <w:numPr>
          <w:ilvl w:val="0"/>
          <w:numId w:val="19"/>
        </w:numPr>
        <w:tabs>
          <w:tab w:val="left" w:pos="5670"/>
        </w:tabs>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evidenčne laboratorijske storitve iz seznama 15.50 »Laboratorijske preiskave v referenčni ambulanti s pripadajočo splošno ambulanto (302 001)« ter E0728 »Sredstva za tuj laboratorij« se v ambulantah za boljšo dostopnost ne poročajo.</w:t>
      </w:r>
    </w:p>
    <w:p w14:paraId="2293ED5B" w14:textId="77777777" w:rsidR="003801B9" w:rsidRPr="00DC3DC8" w:rsidRDefault="003801B9" w:rsidP="003801B9">
      <w:pPr>
        <w:spacing w:after="0" w:line="240" w:lineRule="auto"/>
        <w:jc w:val="both"/>
        <w:rPr>
          <w:rFonts w:ascii="Calibri" w:eastAsia="Times New Roman" w:hAnsi="Calibri" w:cs="Calibri"/>
          <w:lang w:eastAsia="sl-SI"/>
        </w:rPr>
      </w:pPr>
    </w:p>
    <w:p w14:paraId="20058065" w14:textId="77777777" w:rsidR="003801B9" w:rsidRPr="00DC3DC8" w:rsidRDefault="003801B9" w:rsidP="003801B9">
      <w:pPr>
        <w:widowControl w:val="0"/>
        <w:suppressAutoHyphens/>
        <w:spacing w:after="0" w:line="240" w:lineRule="auto"/>
        <w:jc w:val="both"/>
        <w:rPr>
          <w:rFonts w:eastAsia="Times New Roman" w:cstheme="minorHAnsi"/>
          <w:b/>
          <w:bCs/>
          <w:color w:val="000000"/>
          <w:lang w:eastAsia="sl-SI"/>
        </w:rPr>
      </w:pPr>
      <w:r w:rsidRPr="00DC3DC8">
        <w:rPr>
          <w:rFonts w:eastAsia="Times New Roman" w:cstheme="minorHAnsi"/>
          <w:b/>
          <w:bCs/>
          <w:color w:val="000000"/>
          <w:lang w:eastAsia="sl-SI"/>
        </w:rPr>
        <w:t xml:space="preserve">Navodilo za obračun </w:t>
      </w:r>
    </w:p>
    <w:p w14:paraId="0E1B6F59" w14:textId="77777777" w:rsidR="003801B9" w:rsidRPr="00DC3DC8" w:rsidRDefault="003801B9" w:rsidP="003801B9">
      <w:pPr>
        <w:spacing w:after="0" w:line="240" w:lineRule="auto"/>
        <w:jc w:val="both"/>
        <w:rPr>
          <w:rFonts w:ascii="Calibri" w:eastAsia="Times New Roman" w:hAnsi="Calibri" w:cs="Calibri"/>
          <w:lang w:eastAsia="sl-SI"/>
        </w:rPr>
      </w:pPr>
    </w:p>
    <w:p w14:paraId="4D8B55D7"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Na dejavnostih 302 064 »Splošne ambulante za boljšo dostopnost do IOZ« in 327 065 »Otroški in šolski dispanzer za boljšo dostopnost do IOZ« ambulante za boljšo dostopnost še vedno beležijo storitev E0010 »Pavšal« po PGO strukturi na vrstah dokumenta 15-16 (Poročilo).</w:t>
      </w:r>
    </w:p>
    <w:p w14:paraId="7568EEE5" w14:textId="77777777" w:rsidR="003801B9" w:rsidRPr="00DC3DC8" w:rsidRDefault="003801B9" w:rsidP="003801B9">
      <w:pPr>
        <w:spacing w:after="0" w:line="240" w:lineRule="auto"/>
        <w:jc w:val="both"/>
        <w:rPr>
          <w:rFonts w:ascii="Calibri" w:eastAsia="Times New Roman" w:hAnsi="Calibri" w:cs="Calibri"/>
          <w:lang w:eastAsia="sl-SI"/>
        </w:rPr>
      </w:pPr>
    </w:p>
    <w:p w14:paraId="55A1C692"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Hkrati pa dodatno obračunajo še:</w:t>
      </w:r>
    </w:p>
    <w:p w14:paraId="3A4BA0C9" w14:textId="77777777" w:rsidR="003801B9" w:rsidRPr="00DC3DC8" w:rsidRDefault="003801B9" w:rsidP="003801B9">
      <w:pPr>
        <w:spacing w:after="0" w:line="240" w:lineRule="auto"/>
        <w:jc w:val="both"/>
        <w:rPr>
          <w:rFonts w:ascii="Calibri" w:eastAsia="Times New Roman" w:hAnsi="Calibri" w:cs="Calibri"/>
          <w:lang w:eastAsia="sl-SI"/>
        </w:rPr>
      </w:pPr>
    </w:p>
    <w:p w14:paraId="02641F62" w14:textId="77777777" w:rsidR="003801B9" w:rsidRPr="00DC3DC8" w:rsidRDefault="003801B9" w:rsidP="003801B9">
      <w:pPr>
        <w:numPr>
          <w:ilvl w:val="0"/>
          <w:numId w:val="1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za vse zavarovane osebe ločeno zaračunljiv material ter storitve aplikacije zdravil iz seznama 15.117 po strukturi Obravnava in PGO strukturi na vrstah dokumenta 4-6 (individualni račun za MedZZ), 7-9 (račun za doplačilo za socialno ogrožene) ter 15-16 (poročilo) skladno s povezovalnim šifrantom K2;</w:t>
      </w:r>
    </w:p>
    <w:p w14:paraId="56149657" w14:textId="77777777" w:rsidR="003801B9" w:rsidRPr="00DC3DC8" w:rsidRDefault="003801B9" w:rsidP="003801B9">
      <w:pPr>
        <w:spacing w:after="0" w:line="240" w:lineRule="auto"/>
        <w:ind w:left="357"/>
        <w:contextualSpacing/>
        <w:jc w:val="both"/>
        <w:rPr>
          <w:rFonts w:ascii="Calibri" w:eastAsia="Times New Roman" w:hAnsi="Calibri" w:cs="Calibri"/>
          <w:lang w:eastAsia="sl-SI"/>
        </w:rPr>
      </w:pPr>
    </w:p>
    <w:p w14:paraId="6ED87A19" w14:textId="77777777" w:rsidR="003801B9" w:rsidRPr="00DC3DC8" w:rsidRDefault="003801B9" w:rsidP="003801B9">
      <w:pPr>
        <w:numPr>
          <w:ilvl w:val="0"/>
          <w:numId w:val="1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 xml:space="preserve">storitve iz seznama 15.20 ter storitev E0743 »Menjava PEG« opravljene osebam, ki imajo zavarovanje urejeno v Sloveniji, ki jih izvajalci obračunajo </w:t>
      </w:r>
      <w:r w:rsidRPr="00DC3DC8">
        <w:rPr>
          <w:rFonts w:ascii="Calibri" w:eastAsia="Times New Roman" w:hAnsi="Calibri" w:cs="Calibri"/>
          <w:b/>
          <w:bCs/>
          <w:lang w:eastAsia="sl-SI"/>
        </w:rPr>
        <w:t>na evidenčnih obračunih</w:t>
      </w:r>
      <w:r w:rsidRPr="00DC3DC8">
        <w:rPr>
          <w:rFonts w:ascii="Calibri" w:eastAsia="Times New Roman" w:hAnsi="Calibri" w:cs="Calibri"/>
          <w:lang w:eastAsia="sl-SI"/>
        </w:rPr>
        <w:t xml:space="preserve"> po zavarovani osebi po strukturi Obravnava, na vrstah dokumenta 15-16 (poročilo) skladno s povezovalnim šifrantom K2. V primeru izstavitve evidenčnega obračuna izvajalec v podatku »Evidenčni dokument« označi vrednost 1, kar pomeni »da, gre za evidenčni dokument«, pri čemer </w:t>
      </w:r>
      <w:r w:rsidRPr="00DC3DC8">
        <w:rPr>
          <w:rFonts w:ascii="Calibri" w:eastAsia="Calibri" w:hAnsi="Calibri" w:cstheme="minorHAnsi"/>
          <w:color w:val="000000"/>
        </w:rPr>
        <w:t>evidenčni dokument izstavijo ločeno (ne skupaj z drugimi dejavnostmi, ki se obračunajo na evidenčnem dokumentu)</w:t>
      </w:r>
      <w:r w:rsidRPr="00DC3DC8">
        <w:rPr>
          <w:rFonts w:ascii="Calibri" w:eastAsia="Times New Roman" w:hAnsi="Calibri" w:cs="Calibri"/>
          <w:lang w:eastAsia="sl-SI"/>
        </w:rPr>
        <w:t>;</w:t>
      </w:r>
    </w:p>
    <w:p w14:paraId="01D0F08B" w14:textId="77777777" w:rsidR="003801B9" w:rsidRPr="00DC3DC8" w:rsidRDefault="003801B9" w:rsidP="003801B9">
      <w:pPr>
        <w:spacing w:after="0" w:line="240" w:lineRule="auto"/>
        <w:jc w:val="both"/>
        <w:rPr>
          <w:rFonts w:ascii="Calibri" w:eastAsia="Times New Roman" w:hAnsi="Calibri" w:cs="Calibri"/>
          <w:lang w:eastAsia="sl-SI"/>
        </w:rPr>
      </w:pPr>
    </w:p>
    <w:p w14:paraId="47A8C7DB" w14:textId="77777777" w:rsidR="003801B9" w:rsidRPr="00DC3DC8" w:rsidRDefault="003801B9" w:rsidP="003801B9">
      <w:pPr>
        <w:numPr>
          <w:ilvl w:val="0"/>
          <w:numId w:val="1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storitve iz seznama 15.20 ter storitev E0743 »Menjava PEG« opravljene tujim zavarovanim osebam po zakonodaji EU in meddržavnih pogodbah, ki jih izvajalci obračunajo po strukturi Obravnava na vrstah dokumentov 4-6 (individualni račun za MedZZ) skladno s povezovalnim šifrantom K2;</w:t>
      </w:r>
    </w:p>
    <w:p w14:paraId="310801B7" w14:textId="77777777" w:rsidR="003801B9" w:rsidRPr="00DC3DC8" w:rsidRDefault="003801B9" w:rsidP="003801B9">
      <w:pPr>
        <w:tabs>
          <w:tab w:val="left" w:pos="5670"/>
        </w:tabs>
        <w:spacing w:after="0" w:line="240" w:lineRule="exact"/>
        <w:ind w:left="720"/>
        <w:contextualSpacing/>
        <w:jc w:val="both"/>
        <w:rPr>
          <w:rFonts w:eastAsia="Calibri" w:cstheme="minorHAnsi"/>
          <w:color w:val="000000"/>
        </w:rPr>
      </w:pPr>
    </w:p>
    <w:p w14:paraId="1B369C34" w14:textId="77777777" w:rsidR="003801B9" w:rsidRPr="00DC3DC8" w:rsidRDefault="003801B9" w:rsidP="003801B9">
      <w:pPr>
        <w:numPr>
          <w:ilvl w:val="0"/>
          <w:numId w:val="1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eastAsia="Calibri" w:cstheme="minorHAnsi"/>
          <w:color w:val="000000"/>
        </w:rPr>
        <w:t>doplačila za opravljene storitve se obračunajo kot v redni splošni ambulanti na obračunskem dokumentu (ne na evidenčnem), in sicer se doplačilo zaračuna:</w:t>
      </w:r>
    </w:p>
    <w:p w14:paraId="19133EC0" w14:textId="77777777" w:rsidR="003801B9" w:rsidRPr="00DC3DC8" w:rsidRDefault="003801B9" w:rsidP="003801B9">
      <w:pPr>
        <w:numPr>
          <w:ilvl w:val="1"/>
          <w:numId w:val="18"/>
        </w:numPr>
        <w:tabs>
          <w:tab w:val="left" w:pos="5670"/>
        </w:tabs>
        <w:autoSpaceDE w:val="0"/>
        <w:autoSpaceDN w:val="0"/>
        <w:adjustRightInd w:val="0"/>
        <w:spacing w:after="0" w:line="240" w:lineRule="auto"/>
        <w:jc w:val="both"/>
        <w:rPr>
          <w:rFonts w:eastAsia="Calibri" w:cstheme="minorHAnsi"/>
          <w:color w:val="000000"/>
        </w:rPr>
      </w:pPr>
      <w:r w:rsidRPr="00DC3DC8">
        <w:rPr>
          <w:rFonts w:eastAsia="Calibri" w:cstheme="minorHAnsi"/>
          <w:color w:val="000000"/>
        </w:rPr>
        <w:t>prostovoljni zavarovalnici - če gre za zavarovano osebo, ki ima sklenjeno prostovoljno zavarovanje,</w:t>
      </w:r>
    </w:p>
    <w:p w14:paraId="125B06A6" w14:textId="77777777" w:rsidR="003801B9" w:rsidRPr="00DC3DC8" w:rsidRDefault="003801B9" w:rsidP="003801B9">
      <w:pPr>
        <w:numPr>
          <w:ilvl w:val="1"/>
          <w:numId w:val="18"/>
        </w:numPr>
        <w:tabs>
          <w:tab w:val="left" w:pos="5670"/>
        </w:tabs>
        <w:autoSpaceDE w:val="0"/>
        <w:autoSpaceDN w:val="0"/>
        <w:adjustRightInd w:val="0"/>
        <w:spacing w:after="0" w:line="240" w:lineRule="auto"/>
        <w:jc w:val="both"/>
        <w:rPr>
          <w:rFonts w:eastAsia="Calibri" w:cstheme="minorHAnsi"/>
          <w:color w:val="000000"/>
        </w:rPr>
      </w:pPr>
      <w:r w:rsidRPr="00DC3DC8">
        <w:rPr>
          <w:rFonts w:eastAsia="Calibri" w:cstheme="minorHAnsi"/>
          <w:color w:val="000000"/>
        </w:rPr>
        <w:lastRenderedPageBreak/>
        <w:t>Zavodu na vrsti dokumenta 7-9 (Račun za doplačilo za socialno ogrožene) - če gre za zavarovano osebo, ki ima tip zavarovane osebe 18 »Socialno ogroženi«,</w:t>
      </w:r>
    </w:p>
    <w:p w14:paraId="491AB8F0" w14:textId="77777777" w:rsidR="003801B9" w:rsidRPr="00DC3DC8" w:rsidRDefault="003801B9" w:rsidP="003801B9">
      <w:pPr>
        <w:numPr>
          <w:ilvl w:val="1"/>
          <w:numId w:val="18"/>
        </w:numPr>
        <w:tabs>
          <w:tab w:val="left" w:pos="5670"/>
        </w:tabs>
        <w:autoSpaceDE w:val="0"/>
        <w:autoSpaceDN w:val="0"/>
        <w:adjustRightInd w:val="0"/>
        <w:spacing w:after="0" w:line="240" w:lineRule="auto"/>
        <w:jc w:val="both"/>
        <w:rPr>
          <w:rFonts w:eastAsia="Calibri" w:cstheme="minorHAnsi"/>
          <w:color w:val="000000"/>
        </w:rPr>
      </w:pPr>
      <w:r w:rsidRPr="00DC3DC8">
        <w:rPr>
          <w:rFonts w:eastAsia="Calibri" w:cstheme="minorHAnsi"/>
          <w:color w:val="000000"/>
        </w:rPr>
        <w:t>v vseh ostalih primerih je zavarovana oseba samoplačnik doplačila.</w:t>
      </w:r>
    </w:p>
    <w:p w14:paraId="2135B697" w14:textId="77777777" w:rsidR="003801B9" w:rsidRPr="00DC3DC8" w:rsidRDefault="003801B9" w:rsidP="003801B9">
      <w:pPr>
        <w:spacing w:after="0" w:line="240" w:lineRule="auto"/>
        <w:jc w:val="both"/>
        <w:rPr>
          <w:rFonts w:ascii="Calibri" w:eastAsia="Times New Roman" w:hAnsi="Calibri" w:cs="Calibri"/>
          <w:lang w:eastAsia="sl-SI"/>
        </w:rPr>
      </w:pPr>
    </w:p>
    <w:p w14:paraId="24AA8BCF"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Ker se opravljene storitve pošiljajo na evidenčnem obračunu, dopolnjujemo tudi Navodilo o beleženju in obračunavanju zdravstvenih storitev in izdanih materialov, poglavje 14.2.1 »Splošni podatki o dokumentu« podatek »Evidenčni dokument« kot sledi:</w:t>
      </w:r>
    </w:p>
    <w:p w14:paraId="3DC24C95" w14:textId="77777777" w:rsidR="003801B9" w:rsidRPr="00DC3DC8" w:rsidRDefault="003801B9" w:rsidP="003801B9">
      <w:pPr>
        <w:spacing w:after="0" w:line="240" w:lineRule="auto"/>
        <w:jc w:val="both"/>
        <w:rPr>
          <w:rFonts w:ascii="Calibri" w:eastAsia="Times New Roman" w:hAnsi="Calibri" w:cs="Calibri"/>
          <w:lang w:eastAsia="sl-SI"/>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8"/>
        <w:gridCol w:w="7655"/>
      </w:tblGrid>
      <w:tr w:rsidR="003801B9" w:rsidRPr="00DC3DC8" w14:paraId="6DB515E2" w14:textId="77777777" w:rsidTr="0024223A">
        <w:trPr>
          <w:cantSplit/>
        </w:trPr>
        <w:tc>
          <w:tcPr>
            <w:tcW w:w="1798" w:type="dxa"/>
            <w:shd w:val="clear" w:color="auto" w:fill="auto"/>
            <w:tcMar>
              <w:top w:w="57" w:type="dxa"/>
              <w:left w:w="57" w:type="dxa"/>
              <w:bottom w:w="57" w:type="dxa"/>
              <w:right w:w="57" w:type="dxa"/>
            </w:tcMar>
          </w:tcPr>
          <w:p w14:paraId="6200B570" w14:textId="77777777" w:rsidR="003801B9" w:rsidRPr="00DC3DC8" w:rsidRDefault="003801B9" w:rsidP="003801B9">
            <w:pPr>
              <w:autoSpaceDE w:val="0"/>
              <w:autoSpaceDN w:val="0"/>
              <w:adjustRightInd w:val="0"/>
              <w:spacing w:before="20" w:after="20" w:line="240" w:lineRule="exact"/>
              <w:rPr>
                <w:rFonts w:cstheme="minorHAnsi"/>
                <w:sz w:val="20"/>
                <w:szCs w:val="20"/>
              </w:rPr>
            </w:pPr>
            <w:r w:rsidRPr="00DC3DC8">
              <w:rPr>
                <w:rFonts w:cstheme="minorHAnsi"/>
                <w:sz w:val="20"/>
                <w:szCs w:val="20"/>
              </w:rPr>
              <w:t>Evidenčni dokument</w:t>
            </w:r>
          </w:p>
        </w:tc>
        <w:tc>
          <w:tcPr>
            <w:tcW w:w="7655" w:type="dxa"/>
            <w:tcMar>
              <w:top w:w="57" w:type="dxa"/>
              <w:left w:w="57" w:type="dxa"/>
              <w:bottom w:w="57" w:type="dxa"/>
              <w:right w:w="57" w:type="dxa"/>
            </w:tcMar>
          </w:tcPr>
          <w:p w14:paraId="503D6433" w14:textId="77777777" w:rsidR="003801B9" w:rsidRPr="00DC3DC8" w:rsidRDefault="003801B9" w:rsidP="003801B9">
            <w:pPr>
              <w:autoSpaceDE w:val="0"/>
              <w:autoSpaceDN w:val="0"/>
              <w:adjustRightInd w:val="0"/>
              <w:spacing w:before="20" w:after="20" w:line="240" w:lineRule="exact"/>
              <w:rPr>
                <w:rFonts w:cstheme="minorHAnsi"/>
                <w:sz w:val="20"/>
                <w:szCs w:val="20"/>
              </w:rPr>
            </w:pPr>
            <w:r w:rsidRPr="00DC3DC8">
              <w:rPr>
                <w:rFonts w:cstheme="minorHAnsi"/>
                <w:sz w:val="20"/>
                <w:szCs w:val="20"/>
              </w:rPr>
              <w:t xml:space="preserve">Podatek se navaja v primeru evidenčnega obračuna, ki se izstavlja za vse razloge obravnav za osebe, ki imajo zavarovanje urejeno v Sloveniji, v dejavnosti nujne medicinske pomoči (podvrste 338 024, 338 040 – 338 049, 338 062 in 338 063), urgentnih centrov (podvrste 238 271, 238 272 in 238 277), </w:t>
            </w:r>
            <w:r w:rsidRPr="00DC3DC8">
              <w:rPr>
                <w:rFonts w:cstheme="minorHAnsi"/>
                <w:b/>
                <w:bCs/>
                <w:sz w:val="20"/>
                <w:szCs w:val="20"/>
              </w:rPr>
              <w:t xml:space="preserve">splošnih ambulant za boljšo dostopnost do IOZ (302 064), otroških in šolskih dispanzerjev za boljšo dostopnost do IOZ (327 065), </w:t>
            </w:r>
            <w:r w:rsidRPr="00DC3DC8">
              <w:rPr>
                <w:rFonts w:cstheme="minorHAnsi"/>
                <w:sz w:val="20"/>
                <w:szCs w:val="20"/>
              </w:rPr>
              <w:t>splošn</w:t>
            </w:r>
            <w:r w:rsidRPr="00DC3DC8">
              <w:rPr>
                <w:rFonts w:cstheme="minorHAnsi"/>
                <w:b/>
                <w:bCs/>
                <w:sz w:val="20"/>
                <w:szCs w:val="20"/>
              </w:rPr>
              <w:t>ih</w:t>
            </w:r>
            <w:r w:rsidRPr="00DC3DC8">
              <w:rPr>
                <w:rFonts w:cstheme="minorHAnsi"/>
                <w:b/>
                <w:bCs/>
                <w:strike/>
                <w:sz w:val="20"/>
                <w:szCs w:val="20"/>
              </w:rPr>
              <w:t>e</w:t>
            </w:r>
            <w:r w:rsidRPr="00DC3DC8">
              <w:rPr>
                <w:rFonts w:cstheme="minorHAnsi"/>
                <w:sz w:val="20"/>
                <w:szCs w:val="20"/>
              </w:rPr>
              <w:t xml:space="preserve"> ambulant</w:t>
            </w:r>
            <w:r w:rsidRPr="00DC3DC8">
              <w:rPr>
                <w:rFonts w:cstheme="minorHAnsi"/>
                <w:b/>
                <w:bCs/>
                <w:strike/>
                <w:sz w:val="20"/>
                <w:szCs w:val="20"/>
              </w:rPr>
              <w:t>e</w:t>
            </w:r>
            <w:r w:rsidRPr="00DC3DC8">
              <w:rPr>
                <w:rFonts w:cstheme="minorHAnsi"/>
                <w:sz w:val="20"/>
                <w:szCs w:val="20"/>
              </w:rPr>
              <w:t xml:space="preserve"> za neopredeljene zavarovane osebe (302 067)</w:t>
            </w:r>
            <w:r w:rsidRPr="00DC3DC8">
              <w:rPr>
                <w:rFonts w:cstheme="minorHAnsi"/>
                <w:b/>
                <w:bCs/>
                <w:sz w:val="20"/>
                <w:szCs w:val="20"/>
              </w:rPr>
              <w:t xml:space="preserve"> </w:t>
            </w:r>
            <w:r w:rsidRPr="00DC3DC8">
              <w:rPr>
                <w:rFonts w:cstheme="minorHAnsi"/>
                <w:sz w:val="20"/>
                <w:szCs w:val="20"/>
              </w:rPr>
              <w:t>in za storitve izven rednega delovnega časa v zobozdravstveni dejavnosti (438 115). V ostalih podvrstah zdravstvenih dejavnosti se podatek ne navaja.</w:t>
            </w:r>
          </w:p>
          <w:p w14:paraId="5E39E28D" w14:textId="77777777" w:rsidR="003801B9" w:rsidRPr="00DC3DC8" w:rsidRDefault="003801B9" w:rsidP="003801B9">
            <w:pPr>
              <w:autoSpaceDE w:val="0"/>
              <w:autoSpaceDN w:val="0"/>
              <w:adjustRightInd w:val="0"/>
              <w:spacing w:before="20" w:after="20" w:line="240" w:lineRule="exact"/>
              <w:rPr>
                <w:rFonts w:cstheme="minorHAnsi"/>
                <w:sz w:val="20"/>
                <w:szCs w:val="20"/>
              </w:rPr>
            </w:pPr>
            <w:r w:rsidRPr="00DC3DC8">
              <w:rPr>
                <w:rFonts w:cstheme="minorHAnsi"/>
                <w:sz w:val="20"/>
                <w:szCs w:val="20"/>
              </w:rPr>
              <w:t>Vrednost podatka je 1 – v pomenu »da, gre za evidenčni dokument«.</w:t>
            </w:r>
          </w:p>
        </w:tc>
      </w:tr>
    </w:tbl>
    <w:p w14:paraId="57157710" w14:textId="77777777" w:rsidR="003801B9" w:rsidRPr="00DC3DC8" w:rsidRDefault="003801B9" w:rsidP="003801B9">
      <w:pPr>
        <w:spacing w:after="0" w:line="240" w:lineRule="auto"/>
        <w:jc w:val="both"/>
        <w:rPr>
          <w:rFonts w:ascii="Calibri" w:eastAsia="Times New Roman" w:hAnsi="Calibri" w:cs="Calibri"/>
          <w:lang w:eastAsia="sl-SI"/>
        </w:rPr>
      </w:pPr>
    </w:p>
    <w:p w14:paraId="6D85734E" w14:textId="3A1760B4" w:rsidR="003801B9" w:rsidRPr="00DC3DC8" w:rsidRDefault="00541AB7"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Ostali podatki na PGO strukturi se pošiljajo tako kot do sedaj (novi podatki iz Okrožnice ZAE 2/23 se ne pošiljajo).</w:t>
      </w:r>
    </w:p>
    <w:p w14:paraId="2DE5ACF0" w14:textId="77777777" w:rsidR="00541AB7" w:rsidRPr="00DC3DC8" w:rsidRDefault="00541AB7" w:rsidP="003801B9">
      <w:pPr>
        <w:spacing w:after="0" w:line="240" w:lineRule="auto"/>
        <w:jc w:val="both"/>
        <w:rPr>
          <w:rFonts w:ascii="Calibri" w:eastAsia="Times New Roman" w:hAnsi="Calibri" w:cs="Calibri"/>
          <w:lang w:eastAsia="sl-SI"/>
        </w:rPr>
      </w:pPr>
    </w:p>
    <w:p w14:paraId="33A57704" w14:textId="77777777" w:rsidR="003801B9" w:rsidRPr="00DC3DC8" w:rsidRDefault="003801B9" w:rsidP="003801B9">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Skladno z navedenim dopolnjujemo naslednje šifrante (spremembe so označene s krepko pisavo):</w:t>
      </w:r>
    </w:p>
    <w:p w14:paraId="6DD39BB5" w14:textId="77777777" w:rsidR="003801B9" w:rsidRPr="00DC3DC8" w:rsidRDefault="003801B9" w:rsidP="003801B9">
      <w:pPr>
        <w:spacing w:after="0" w:line="240" w:lineRule="auto"/>
        <w:jc w:val="both"/>
        <w:rPr>
          <w:rFonts w:ascii="Calibri" w:eastAsia="Times New Roman" w:hAnsi="Calibri" w:cs="Calibri"/>
          <w:lang w:eastAsia="sl-SI"/>
        </w:rPr>
      </w:pPr>
    </w:p>
    <w:p w14:paraId="6A0964FD" w14:textId="77777777" w:rsidR="003801B9" w:rsidRPr="00DC3DC8" w:rsidRDefault="003801B9" w:rsidP="00C53AD8">
      <w:pPr>
        <w:widowControl w:val="0"/>
        <w:numPr>
          <w:ilvl w:val="0"/>
          <w:numId w:val="17"/>
        </w:numPr>
        <w:tabs>
          <w:tab w:val="left" w:pos="5670"/>
        </w:tabs>
        <w:suppressAutoHyphens/>
        <w:spacing w:after="0" w:line="240" w:lineRule="auto"/>
        <w:ind w:left="357" w:hanging="357"/>
        <w:contextualSpacing/>
        <w:jc w:val="both"/>
        <w:rPr>
          <w:rFonts w:ascii="Calibri" w:eastAsia="Calibri" w:hAnsi="Calibri" w:cstheme="minorHAnsi"/>
          <w:color w:val="000000"/>
          <w:lang w:eastAsia="sl-SI"/>
        </w:rPr>
      </w:pPr>
      <w:r w:rsidRPr="00DC3DC8">
        <w:rPr>
          <w:rFonts w:ascii="Calibri" w:eastAsia="Calibri" w:hAnsi="Calibri" w:cstheme="minorHAnsi"/>
          <w:color w:val="000000"/>
          <w:lang w:eastAsia="sl-SI"/>
        </w:rPr>
        <w:t>naziv seznama storitev 15.20 »</w:t>
      </w:r>
      <w:r w:rsidRPr="00DC3DC8">
        <w:rPr>
          <w:rFonts w:ascii="Calibri" w:eastAsia="Calibri" w:hAnsi="Calibri" w:cstheme="minorHAnsi"/>
          <w:color w:val="000000"/>
        </w:rPr>
        <w:t>Storitve v splošnih ambulantah, dispanzerjih za otroke in šolarje ter NMP (</w:t>
      </w:r>
      <w:r w:rsidRPr="00DC3DC8">
        <w:rPr>
          <w:rFonts w:ascii="Calibri" w:eastAsia="Calibri" w:hAnsi="Calibri" w:cs="Arial"/>
          <w:color w:val="000000"/>
          <w:lang w:eastAsia="sl-SI"/>
        </w:rPr>
        <w:t>302 001-002, 302 036</w:t>
      </w:r>
      <w:r w:rsidRPr="00DC3DC8">
        <w:rPr>
          <w:rFonts w:ascii="Calibri" w:eastAsia="Calibri" w:hAnsi="Calibri" w:cs="Arial"/>
          <w:b/>
          <w:bCs/>
          <w:color w:val="000000"/>
          <w:lang w:eastAsia="sl-SI"/>
        </w:rPr>
        <w:t>, 302 064,</w:t>
      </w:r>
      <w:r w:rsidRPr="00DC3DC8">
        <w:rPr>
          <w:rFonts w:ascii="Calibri" w:eastAsia="Calibri" w:hAnsi="Calibri" w:cs="Arial"/>
          <w:color w:val="000000"/>
          <w:lang w:eastAsia="sl-SI"/>
        </w:rPr>
        <w:t xml:space="preserve"> 302 067, 327 009, 327 011, 327 013, </w:t>
      </w:r>
      <w:r w:rsidRPr="00DC3DC8">
        <w:rPr>
          <w:rFonts w:ascii="Calibri" w:eastAsia="Calibri" w:hAnsi="Calibri" w:cs="Arial"/>
          <w:b/>
          <w:bCs/>
          <w:color w:val="000000"/>
          <w:lang w:eastAsia="sl-SI"/>
        </w:rPr>
        <w:t>327 065,</w:t>
      </w:r>
      <w:r w:rsidRPr="00DC3DC8">
        <w:rPr>
          <w:rFonts w:ascii="Calibri" w:eastAsia="Calibri" w:hAnsi="Calibri" w:cs="Arial"/>
          <w:color w:val="000000"/>
          <w:lang w:eastAsia="sl-SI"/>
        </w:rPr>
        <w:t xml:space="preserve"> 338 024, 338 040-047, 338 051, 338 062-063)</w:t>
      </w:r>
    </w:p>
    <w:p w14:paraId="05743008" w14:textId="77777777" w:rsidR="003801B9" w:rsidRPr="00DC3DC8" w:rsidRDefault="003801B9" w:rsidP="003801B9">
      <w:pPr>
        <w:spacing w:after="0" w:line="240" w:lineRule="auto"/>
        <w:jc w:val="both"/>
        <w:rPr>
          <w:rFonts w:ascii="Calibri" w:eastAsia="Times New Roman" w:hAnsi="Calibri" w:cs="Calibri"/>
          <w:lang w:eastAsia="sl-SI"/>
        </w:rPr>
      </w:pPr>
    </w:p>
    <w:p w14:paraId="55634885" w14:textId="77777777" w:rsidR="003801B9" w:rsidRPr="00DC3DC8" w:rsidRDefault="003801B9" w:rsidP="00C53AD8">
      <w:pPr>
        <w:numPr>
          <w:ilvl w:val="0"/>
          <w:numId w:val="17"/>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povezovalni šifrant K1 »Vrste zdravstvene dejavnosti in storitve za obračun«:</w:t>
      </w:r>
    </w:p>
    <w:p w14:paraId="5CE1F732" w14:textId="77777777" w:rsidR="003801B9" w:rsidRPr="00DC3DC8" w:rsidRDefault="003801B9" w:rsidP="003801B9">
      <w:pPr>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862"/>
        <w:gridCol w:w="463"/>
        <w:gridCol w:w="463"/>
        <w:gridCol w:w="4384"/>
        <w:gridCol w:w="2539"/>
        <w:gridCol w:w="692"/>
      </w:tblGrid>
      <w:tr w:rsidR="003801B9" w:rsidRPr="00DC3DC8" w14:paraId="3FA13B3E" w14:textId="77777777" w:rsidTr="0024223A">
        <w:trPr>
          <w:trHeight w:val="643"/>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D5340B"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Šifra zdr. dej.</w:t>
            </w:r>
          </w:p>
        </w:tc>
        <w:tc>
          <w:tcPr>
            <w:tcW w:w="2823" w:type="pct"/>
            <w:gridSpan w:val="3"/>
            <w:tcBorders>
              <w:top w:val="single" w:sz="4" w:space="0" w:color="auto"/>
              <w:left w:val="nil"/>
              <w:bottom w:val="single" w:sz="4" w:space="0" w:color="auto"/>
              <w:right w:val="single" w:sz="4" w:space="0" w:color="000000"/>
            </w:tcBorders>
            <w:shd w:val="clear" w:color="auto" w:fill="auto"/>
            <w:vAlign w:val="bottom"/>
            <w:hideMark/>
          </w:tcPr>
          <w:p w14:paraId="053A8602"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Zdravstvena dejavnost, vrsta dejavnosti, podvrsta dejavnosti</w:t>
            </w:r>
          </w:p>
        </w:tc>
        <w:tc>
          <w:tcPr>
            <w:tcW w:w="1350" w:type="pct"/>
            <w:tcBorders>
              <w:top w:val="single" w:sz="4" w:space="0" w:color="auto"/>
              <w:left w:val="nil"/>
              <w:bottom w:val="single" w:sz="4" w:space="0" w:color="auto"/>
              <w:right w:val="single" w:sz="4" w:space="0" w:color="auto"/>
            </w:tcBorders>
            <w:shd w:val="clear" w:color="auto" w:fill="auto"/>
            <w:vAlign w:val="bottom"/>
            <w:hideMark/>
          </w:tcPr>
          <w:p w14:paraId="31339F71" w14:textId="77777777" w:rsidR="003801B9" w:rsidRPr="00DC3DC8" w:rsidRDefault="003801B9" w:rsidP="003801B9">
            <w:pPr>
              <w:spacing w:after="0" w:line="240" w:lineRule="auto"/>
              <w:rPr>
                <w:rFonts w:ascii="Calibri" w:eastAsia="Times New Roman" w:hAnsi="Calibri" w:cs="Calibri"/>
                <w:sz w:val="18"/>
                <w:szCs w:val="18"/>
                <w:lang w:eastAsia="sl-SI"/>
              </w:rPr>
            </w:pPr>
          </w:p>
        </w:tc>
        <w:tc>
          <w:tcPr>
            <w:tcW w:w="368" w:type="pct"/>
            <w:tcBorders>
              <w:top w:val="single" w:sz="4" w:space="0" w:color="auto"/>
              <w:left w:val="nil"/>
              <w:bottom w:val="single" w:sz="4" w:space="0" w:color="auto"/>
              <w:right w:val="single" w:sz="4" w:space="0" w:color="auto"/>
            </w:tcBorders>
          </w:tcPr>
          <w:p w14:paraId="24788C0B"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r>
      <w:tr w:rsidR="003801B9" w:rsidRPr="00DC3DC8" w14:paraId="00DF71D3" w14:textId="77777777" w:rsidTr="0024223A">
        <w:trPr>
          <w:trHeight w:val="255"/>
        </w:trPr>
        <w:tc>
          <w:tcPr>
            <w:tcW w:w="459" w:type="pct"/>
            <w:tcBorders>
              <w:top w:val="nil"/>
              <w:left w:val="single" w:sz="8" w:space="0" w:color="auto"/>
              <w:bottom w:val="single" w:sz="4" w:space="0" w:color="auto"/>
              <w:right w:val="single" w:sz="4" w:space="0" w:color="auto"/>
            </w:tcBorders>
            <w:shd w:val="clear" w:color="auto" w:fill="auto"/>
            <w:noWrap/>
            <w:vAlign w:val="bottom"/>
            <w:hideMark/>
          </w:tcPr>
          <w:p w14:paraId="276A8AAC"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Q86.210</w:t>
            </w:r>
          </w:p>
        </w:tc>
        <w:tc>
          <w:tcPr>
            <w:tcW w:w="2823" w:type="pct"/>
            <w:gridSpan w:val="3"/>
            <w:tcBorders>
              <w:top w:val="single" w:sz="4" w:space="0" w:color="auto"/>
              <w:left w:val="nil"/>
              <w:bottom w:val="single" w:sz="4" w:space="0" w:color="auto"/>
              <w:right w:val="single" w:sz="4" w:space="0" w:color="auto"/>
            </w:tcBorders>
            <w:shd w:val="clear" w:color="auto" w:fill="auto"/>
            <w:vAlign w:val="bottom"/>
          </w:tcPr>
          <w:p w14:paraId="3D56B776"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Splošna zunajbolnišnična zdravstvena dejavnost</w:t>
            </w:r>
          </w:p>
        </w:tc>
        <w:tc>
          <w:tcPr>
            <w:tcW w:w="1350" w:type="pct"/>
            <w:tcBorders>
              <w:top w:val="nil"/>
              <w:left w:val="single" w:sz="4" w:space="0" w:color="auto"/>
              <w:bottom w:val="single" w:sz="4" w:space="0" w:color="auto"/>
              <w:right w:val="single" w:sz="4" w:space="0" w:color="auto"/>
            </w:tcBorders>
            <w:shd w:val="clear" w:color="auto" w:fill="auto"/>
            <w:vAlign w:val="bottom"/>
            <w:hideMark/>
          </w:tcPr>
          <w:p w14:paraId="42C8EE94"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b/>
                <w:bCs/>
                <w:sz w:val="18"/>
                <w:szCs w:val="18"/>
                <w:lang w:eastAsia="sl-SI"/>
              </w:rPr>
              <w:t> </w:t>
            </w:r>
          </w:p>
        </w:tc>
        <w:tc>
          <w:tcPr>
            <w:tcW w:w="368" w:type="pct"/>
            <w:tcBorders>
              <w:top w:val="nil"/>
              <w:left w:val="single" w:sz="4" w:space="0" w:color="auto"/>
              <w:bottom w:val="single" w:sz="4" w:space="0" w:color="auto"/>
              <w:right w:val="single" w:sz="4" w:space="0" w:color="auto"/>
            </w:tcBorders>
          </w:tcPr>
          <w:p w14:paraId="31756CE6"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r>
      <w:tr w:rsidR="003801B9" w:rsidRPr="00DC3DC8" w14:paraId="25E2E1B8" w14:textId="77777777" w:rsidTr="0024223A">
        <w:trPr>
          <w:trHeight w:val="255"/>
        </w:trPr>
        <w:tc>
          <w:tcPr>
            <w:tcW w:w="459" w:type="pct"/>
            <w:tcBorders>
              <w:top w:val="nil"/>
              <w:left w:val="single" w:sz="8" w:space="0" w:color="auto"/>
              <w:bottom w:val="single" w:sz="4" w:space="0" w:color="auto"/>
              <w:right w:val="single" w:sz="4" w:space="0" w:color="auto"/>
            </w:tcBorders>
            <w:shd w:val="clear" w:color="auto" w:fill="auto"/>
            <w:noWrap/>
            <w:vAlign w:val="bottom"/>
          </w:tcPr>
          <w:p w14:paraId="171E5CF5"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246" w:type="pct"/>
            <w:tcBorders>
              <w:top w:val="nil"/>
              <w:left w:val="nil"/>
              <w:bottom w:val="single" w:sz="4" w:space="0" w:color="auto"/>
              <w:right w:val="single" w:sz="4" w:space="0" w:color="auto"/>
            </w:tcBorders>
            <w:shd w:val="clear" w:color="auto" w:fill="auto"/>
          </w:tcPr>
          <w:p w14:paraId="02E0EA6A"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302</w:t>
            </w:r>
          </w:p>
        </w:tc>
        <w:tc>
          <w:tcPr>
            <w:tcW w:w="2577" w:type="pct"/>
            <w:gridSpan w:val="2"/>
            <w:tcBorders>
              <w:top w:val="single" w:sz="4" w:space="0" w:color="auto"/>
              <w:left w:val="nil"/>
              <w:bottom w:val="single" w:sz="4" w:space="0" w:color="auto"/>
              <w:right w:val="single" w:sz="4" w:space="0" w:color="auto"/>
            </w:tcBorders>
            <w:shd w:val="clear" w:color="auto" w:fill="auto"/>
            <w:vAlign w:val="bottom"/>
          </w:tcPr>
          <w:p w14:paraId="098DA776"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Splošna in družinska medicina v splošni zunajbolnišnični dejavnosti</w:t>
            </w:r>
          </w:p>
        </w:tc>
        <w:tc>
          <w:tcPr>
            <w:tcW w:w="1350" w:type="pct"/>
            <w:tcBorders>
              <w:top w:val="nil"/>
              <w:left w:val="single" w:sz="4" w:space="0" w:color="auto"/>
              <w:bottom w:val="single" w:sz="4" w:space="0" w:color="auto"/>
              <w:right w:val="single" w:sz="4" w:space="0" w:color="auto"/>
            </w:tcBorders>
            <w:shd w:val="clear" w:color="auto" w:fill="auto"/>
            <w:vAlign w:val="bottom"/>
          </w:tcPr>
          <w:p w14:paraId="1A5E0585"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b/>
                <w:bCs/>
                <w:sz w:val="18"/>
                <w:szCs w:val="18"/>
                <w:lang w:eastAsia="sl-SI"/>
              </w:rPr>
              <w:t> </w:t>
            </w:r>
          </w:p>
        </w:tc>
        <w:tc>
          <w:tcPr>
            <w:tcW w:w="368" w:type="pct"/>
            <w:tcBorders>
              <w:top w:val="nil"/>
              <w:left w:val="single" w:sz="4" w:space="0" w:color="auto"/>
              <w:bottom w:val="single" w:sz="4" w:space="0" w:color="auto"/>
              <w:right w:val="single" w:sz="4" w:space="0" w:color="auto"/>
            </w:tcBorders>
          </w:tcPr>
          <w:p w14:paraId="24066F27"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r>
      <w:tr w:rsidR="003801B9" w:rsidRPr="00DC3DC8" w14:paraId="3D440DCA" w14:textId="77777777" w:rsidTr="0024223A">
        <w:trPr>
          <w:trHeight w:val="255"/>
        </w:trPr>
        <w:tc>
          <w:tcPr>
            <w:tcW w:w="459" w:type="pct"/>
            <w:tcBorders>
              <w:top w:val="nil"/>
              <w:left w:val="single" w:sz="8" w:space="0" w:color="auto"/>
              <w:bottom w:val="single" w:sz="4" w:space="0" w:color="auto"/>
              <w:right w:val="single" w:sz="4" w:space="0" w:color="auto"/>
            </w:tcBorders>
            <w:shd w:val="clear" w:color="auto" w:fill="auto"/>
            <w:noWrap/>
            <w:vAlign w:val="bottom"/>
          </w:tcPr>
          <w:p w14:paraId="0BFA0C50"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 </w:t>
            </w:r>
          </w:p>
        </w:tc>
        <w:tc>
          <w:tcPr>
            <w:tcW w:w="246" w:type="pct"/>
            <w:tcBorders>
              <w:top w:val="nil"/>
              <w:left w:val="nil"/>
              <w:bottom w:val="single" w:sz="4" w:space="0" w:color="auto"/>
              <w:right w:val="single" w:sz="4" w:space="0" w:color="auto"/>
            </w:tcBorders>
            <w:shd w:val="clear" w:color="auto" w:fill="auto"/>
            <w:noWrap/>
            <w:vAlign w:val="bottom"/>
          </w:tcPr>
          <w:p w14:paraId="12B722F2" w14:textId="77777777" w:rsidR="003801B9" w:rsidRPr="00DC3DC8" w:rsidRDefault="003801B9" w:rsidP="003801B9">
            <w:pPr>
              <w:spacing w:after="0" w:line="240" w:lineRule="auto"/>
              <w:jc w:val="right"/>
              <w:rPr>
                <w:rFonts w:ascii="Calibri" w:eastAsia="Times New Roman" w:hAnsi="Calibri" w:cs="Calibri"/>
                <w:b/>
                <w:bCs/>
                <w:sz w:val="18"/>
                <w:szCs w:val="18"/>
                <w:lang w:eastAsia="sl-SI"/>
              </w:rPr>
            </w:pPr>
          </w:p>
        </w:tc>
        <w:tc>
          <w:tcPr>
            <w:tcW w:w="246" w:type="pct"/>
            <w:tcBorders>
              <w:top w:val="nil"/>
              <w:left w:val="nil"/>
              <w:bottom w:val="single" w:sz="4" w:space="0" w:color="auto"/>
              <w:right w:val="single" w:sz="4" w:space="0" w:color="auto"/>
            </w:tcBorders>
            <w:shd w:val="clear" w:color="auto" w:fill="auto"/>
          </w:tcPr>
          <w:p w14:paraId="16C45524"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064</w:t>
            </w:r>
          </w:p>
        </w:tc>
        <w:tc>
          <w:tcPr>
            <w:tcW w:w="2331" w:type="pct"/>
            <w:tcBorders>
              <w:top w:val="nil"/>
              <w:left w:val="nil"/>
              <w:bottom w:val="single" w:sz="4" w:space="0" w:color="auto"/>
              <w:right w:val="nil"/>
            </w:tcBorders>
            <w:shd w:val="clear" w:color="auto" w:fill="auto"/>
          </w:tcPr>
          <w:p w14:paraId="0502F48A"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Splošne ambulante za boljšo dostopnost do IOZ</w:t>
            </w:r>
          </w:p>
        </w:tc>
        <w:tc>
          <w:tcPr>
            <w:tcW w:w="1350" w:type="pct"/>
            <w:tcBorders>
              <w:top w:val="nil"/>
              <w:left w:val="single" w:sz="4" w:space="0" w:color="auto"/>
              <w:bottom w:val="single" w:sz="4" w:space="0" w:color="auto"/>
              <w:right w:val="single" w:sz="4" w:space="0" w:color="auto"/>
            </w:tcBorders>
            <w:shd w:val="clear" w:color="auto" w:fill="auto"/>
            <w:vAlign w:val="center"/>
          </w:tcPr>
          <w:p w14:paraId="5D6BF6EC" w14:textId="77777777" w:rsidR="003801B9" w:rsidRPr="00DC3DC8" w:rsidRDefault="003801B9" w:rsidP="003801B9">
            <w:pPr>
              <w:spacing w:after="0" w:line="240" w:lineRule="auto"/>
              <w:rPr>
                <w:rFonts w:ascii="Calibri" w:eastAsia="Times New Roman" w:hAnsi="Calibri" w:cs="Calibri"/>
                <w:b/>
                <w:bCs/>
                <w:strike/>
                <w:sz w:val="18"/>
                <w:szCs w:val="18"/>
                <w:lang w:eastAsia="sl-SI"/>
              </w:rPr>
            </w:pPr>
            <w:r w:rsidRPr="00DC3DC8">
              <w:rPr>
                <w:rFonts w:ascii="Calibri" w:eastAsia="Times New Roman" w:hAnsi="Calibri" w:cs="Calibri"/>
                <w:b/>
                <w:bCs/>
                <w:sz w:val="18"/>
                <w:szCs w:val="18"/>
                <w:lang w:eastAsia="sl-SI"/>
              </w:rPr>
              <w:t>Q0030-Q0033, Q0037-Q0039, Q0048, Q0206-Q0211, Q0235-Q0237, Q0243-Q0261, Q0262-Q0264, Q0265-Q0272, Q0284-Q0286</w:t>
            </w:r>
          </w:p>
        </w:tc>
        <w:tc>
          <w:tcPr>
            <w:tcW w:w="368" w:type="pct"/>
            <w:tcBorders>
              <w:top w:val="nil"/>
              <w:left w:val="single" w:sz="4" w:space="0" w:color="auto"/>
              <w:bottom w:val="single" w:sz="4" w:space="0" w:color="auto"/>
              <w:right w:val="single" w:sz="4" w:space="0" w:color="auto"/>
            </w:tcBorders>
          </w:tcPr>
          <w:p w14:paraId="11EC9CB2"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Z0032</w:t>
            </w:r>
          </w:p>
        </w:tc>
      </w:tr>
      <w:tr w:rsidR="003801B9" w:rsidRPr="00DC3DC8" w14:paraId="303DFC0A" w14:textId="77777777" w:rsidTr="00703461">
        <w:trPr>
          <w:trHeight w:val="255"/>
        </w:trPr>
        <w:tc>
          <w:tcPr>
            <w:tcW w:w="459" w:type="pct"/>
            <w:tcBorders>
              <w:top w:val="nil"/>
              <w:left w:val="single" w:sz="8" w:space="0" w:color="auto"/>
              <w:bottom w:val="single" w:sz="4" w:space="0" w:color="auto"/>
              <w:right w:val="single" w:sz="4" w:space="0" w:color="auto"/>
            </w:tcBorders>
            <w:shd w:val="clear" w:color="auto" w:fill="auto"/>
            <w:noWrap/>
            <w:vAlign w:val="bottom"/>
          </w:tcPr>
          <w:p w14:paraId="76D1CFE7" w14:textId="77777777" w:rsidR="003801B9" w:rsidRPr="00DC3DC8" w:rsidRDefault="003801B9" w:rsidP="003801B9">
            <w:pPr>
              <w:spacing w:after="0" w:line="240" w:lineRule="auto"/>
              <w:rPr>
                <w:rFonts w:ascii="Calibri" w:eastAsia="Times New Roman" w:hAnsi="Calibri" w:cs="Calibri"/>
                <w:b/>
                <w:bCs/>
                <w:sz w:val="18"/>
                <w:szCs w:val="18"/>
                <w:lang w:eastAsia="sl-SI"/>
              </w:rPr>
            </w:pPr>
            <w:bookmarkStart w:id="11" w:name="_Hlk124420070"/>
          </w:p>
        </w:tc>
        <w:tc>
          <w:tcPr>
            <w:tcW w:w="246" w:type="pct"/>
            <w:tcBorders>
              <w:top w:val="nil"/>
              <w:left w:val="nil"/>
              <w:bottom w:val="single" w:sz="4" w:space="0" w:color="auto"/>
              <w:right w:val="single" w:sz="4" w:space="0" w:color="auto"/>
            </w:tcBorders>
            <w:shd w:val="clear" w:color="auto" w:fill="auto"/>
            <w:noWrap/>
            <w:vAlign w:val="bottom"/>
          </w:tcPr>
          <w:p w14:paraId="6A21C2BB" w14:textId="77777777" w:rsidR="003801B9" w:rsidRPr="00DC3DC8" w:rsidRDefault="003801B9" w:rsidP="003801B9">
            <w:pPr>
              <w:spacing w:after="0" w:line="240" w:lineRule="auto"/>
              <w:jc w:val="right"/>
              <w:rPr>
                <w:rFonts w:ascii="Calibri" w:eastAsia="Times New Roman" w:hAnsi="Calibri" w:cs="Calibri"/>
                <w:b/>
                <w:bCs/>
                <w:sz w:val="18"/>
                <w:szCs w:val="18"/>
                <w:lang w:eastAsia="sl-SI"/>
              </w:rPr>
            </w:pPr>
          </w:p>
        </w:tc>
        <w:tc>
          <w:tcPr>
            <w:tcW w:w="246" w:type="pct"/>
            <w:tcBorders>
              <w:top w:val="nil"/>
              <w:left w:val="nil"/>
              <w:bottom w:val="single" w:sz="4" w:space="0" w:color="auto"/>
              <w:right w:val="single" w:sz="4" w:space="0" w:color="auto"/>
            </w:tcBorders>
            <w:shd w:val="clear" w:color="auto" w:fill="auto"/>
          </w:tcPr>
          <w:p w14:paraId="2C387CD7" w14:textId="77777777" w:rsidR="003801B9" w:rsidRPr="00DC3DC8" w:rsidRDefault="003801B9" w:rsidP="003801B9">
            <w:pPr>
              <w:spacing w:after="0" w:line="240" w:lineRule="auto"/>
              <w:rPr>
                <w:rFonts w:ascii="Calibri" w:eastAsia="Times New Roman" w:hAnsi="Calibri" w:cs="Calibri"/>
                <w:sz w:val="18"/>
                <w:szCs w:val="18"/>
                <w:lang w:eastAsia="sl-SI"/>
              </w:rPr>
            </w:pPr>
          </w:p>
        </w:tc>
        <w:tc>
          <w:tcPr>
            <w:tcW w:w="2331" w:type="pct"/>
            <w:tcBorders>
              <w:top w:val="nil"/>
              <w:left w:val="nil"/>
              <w:bottom w:val="single" w:sz="4" w:space="0" w:color="auto"/>
              <w:right w:val="nil"/>
            </w:tcBorders>
            <w:shd w:val="clear" w:color="auto" w:fill="auto"/>
          </w:tcPr>
          <w:p w14:paraId="0E1A1615" w14:textId="77777777" w:rsidR="003801B9" w:rsidRPr="00DC3DC8" w:rsidRDefault="003801B9" w:rsidP="003801B9">
            <w:pPr>
              <w:spacing w:after="0" w:line="240" w:lineRule="auto"/>
              <w:rPr>
                <w:rFonts w:ascii="Calibri" w:eastAsia="Times New Roman" w:hAnsi="Calibri" w:cs="Calibri"/>
                <w:sz w:val="18"/>
                <w:szCs w:val="18"/>
                <w:lang w:eastAsia="sl-SI"/>
              </w:rPr>
            </w:pPr>
          </w:p>
        </w:tc>
        <w:tc>
          <w:tcPr>
            <w:tcW w:w="1350" w:type="pct"/>
            <w:tcBorders>
              <w:top w:val="nil"/>
              <w:left w:val="single" w:sz="4" w:space="0" w:color="auto"/>
              <w:bottom w:val="single" w:sz="4" w:space="0" w:color="auto"/>
              <w:right w:val="single" w:sz="4" w:space="0" w:color="auto"/>
            </w:tcBorders>
            <w:shd w:val="clear" w:color="auto" w:fill="auto"/>
            <w:vAlign w:val="center"/>
          </w:tcPr>
          <w:p w14:paraId="19CDCC2B"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Šifrant 15.117</w:t>
            </w:r>
          </w:p>
        </w:tc>
        <w:tc>
          <w:tcPr>
            <w:tcW w:w="368" w:type="pct"/>
            <w:tcBorders>
              <w:top w:val="nil"/>
              <w:left w:val="single" w:sz="4" w:space="0" w:color="auto"/>
              <w:bottom w:val="single" w:sz="4" w:space="0" w:color="auto"/>
              <w:right w:val="single" w:sz="4" w:space="0" w:color="auto"/>
            </w:tcBorders>
          </w:tcPr>
          <w:p w14:paraId="071E4B5E"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r>
      <w:tr w:rsidR="003801B9" w:rsidRPr="00DC3DC8" w14:paraId="7E65C5EC" w14:textId="77777777" w:rsidTr="00703461">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4FAC986" w14:textId="77777777" w:rsidR="003801B9" w:rsidRPr="00DC3DC8" w:rsidRDefault="003801B9" w:rsidP="003801B9">
            <w:pPr>
              <w:spacing w:after="0" w:line="240" w:lineRule="auto"/>
              <w:rPr>
                <w:rFonts w:ascii="Calibri" w:eastAsia="Times New Roman" w:hAnsi="Calibri" w:cs="Calibri"/>
                <w:sz w:val="18"/>
                <w:szCs w:val="18"/>
                <w:lang w:eastAsia="sl-SI"/>
              </w:rPr>
            </w:pPr>
            <w:bookmarkStart w:id="12" w:name="_Hlk124421246"/>
            <w:bookmarkEnd w:id="11"/>
            <w:r w:rsidRPr="00DC3DC8">
              <w:rPr>
                <w:rFonts w:ascii="Calibri" w:eastAsia="Times New Roman" w:hAnsi="Calibri" w:cs="Calibri"/>
                <w:sz w:val="18"/>
                <w:szCs w:val="18"/>
                <w:lang w:eastAsia="sl-SI"/>
              </w:rPr>
              <w:t> </w:t>
            </w:r>
          </w:p>
        </w:tc>
        <w:tc>
          <w:tcPr>
            <w:tcW w:w="246" w:type="pct"/>
            <w:tcBorders>
              <w:top w:val="single" w:sz="4" w:space="0" w:color="auto"/>
              <w:left w:val="nil"/>
              <w:bottom w:val="single" w:sz="4" w:space="0" w:color="auto"/>
              <w:right w:val="single" w:sz="4" w:space="0" w:color="auto"/>
            </w:tcBorders>
            <w:shd w:val="clear" w:color="auto" w:fill="auto"/>
            <w:vAlign w:val="bottom"/>
          </w:tcPr>
          <w:p w14:paraId="3411F4DE"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327</w:t>
            </w:r>
          </w:p>
        </w:tc>
        <w:tc>
          <w:tcPr>
            <w:tcW w:w="2577" w:type="pct"/>
            <w:gridSpan w:val="2"/>
            <w:tcBorders>
              <w:top w:val="single" w:sz="4" w:space="0" w:color="auto"/>
              <w:left w:val="nil"/>
              <w:bottom w:val="single" w:sz="4" w:space="0" w:color="auto"/>
              <w:right w:val="single" w:sz="4" w:space="0" w:color="auto"/>
            </w:tcBorders>
            <w:shd w:val="clear" w:color="auto" w:fill="auto"/>
            <w:vAlign w:val="bottom"/>
          </w:tcPr>
          <w:p w14:paraId="2FEBC4A9"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Pediatrija v splošni zunajbolnišnični dejavnosti</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bottom"/>
          </w:tcPr>
          <w:p w14:paraId="02E46356"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368" w:type="pct"/>
            <w:tcBorders>
              <w:top w:val="single" w:sz="4" w:space="0" w:color="auto"/>
              <w:left w:val="single" w:sz="4" w:space="0" w:color="auto"/>
              <w:bottom w:val="single" w:sz="4" w:space="0" w:color="auto"/>
              <w:right w:val="single" w:sz="4" w:space="0" w:color="auto"/>
            </w:tcBorders>
          </w:tcPr>
          <w:p w14:paraId="0EC388DA" w14:textId="77777777" w:rsidR="003801B9" w:rsidRPr="00DC3DC8" w:rsidRDefault="003801B9" w:rsidP="003801B9">
            <w:pPr>
              <w:spacing w:after="0" w:line="240" w:lineRule="auto"/>
              <w:rPr>
                <w:rFonts w:ascii="Calibri" w:eastAsia="Times New Roman" w:hAnsi="Calibri" w:cs="Calibri"/>
                <w:sz w:val="18"/>
                <w:szCs w:val="18"/>
                <w:lang w:eastAsia="sl-SI"/>
              </w:rPr>
            </w:pPr>
          </w:p>
        </w:tc>
      </w:tr>
      <w:bookmarkEnd w:id="12"/>
      <w:tr w:rsidR="003801B9" w:rsidRPr="00DC3DC8" w14:paraId="34B57B32" w14:textId="77777777" w:rsidTr="00703461">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2166DE74"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 </w:t>
            </w: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0270DB64" w14:textId="77777777" w:rsidR="003801B9" w:rsidRPr="00DC3DC8" w:rsidRDefault="003801B9" w:rsidP="003801B9">
            <w:pPr>
              <w:spacing w:after="0" w:line="240" w:lineRule="auto"/>
              <w:jc w:val="right"/>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 </w:t>
            </w:r>
          </w:p>
        </w:tc>
        <w:tc>
          <w:tcPr>
            <w:tcW w:w="246" w:type="pct"/>
            <w:tcBorders>
              <w:top w:val="single" w:sz="4" w:space="0" w:color="auto"/>
              <w:left w:val="nil"/>
              <w:bottom w:val="single" w:sz="4" w:space="0" w:color="auto"/>
              <w:right w:val="single" w:sz="4" w:space="0" w:color="auto"/>
            </w:tcBorders>
            <w:shd w:val="clear" w:color="auto" w:fill="auto"/>
          </w:tcPr>
          <w:p w14:paraId="3E9D373D"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065</w:t>
            </w:r>
          </w:p>
        </w:tc>
        <w:tc>
          <w:tcPr>
            <w:tcW w:w="2331" w:type="pct"/>
            <w:tcBorders>
              <w:top w:val="single" w:sz="4" w:space="0" w:color="auto"/>
              <w:left w:val="nil"/>
              <w:bottom w:val="single" w:sz="4" w:space="0" w:color="auto"/>
              <w:right w:val="nil"/>
            </w:tcBorders>
            <w:shd w:val="clear" w:color="auto" w:fill="auto"/>
          </w:tcPr>
          <w:p w14:paraId="305CE393" w14:textId="77777777" w:rsidR="003801B9" w:rsidRPr="00DC3DC8" w:rsidRDefault="003801B9" w:rsidP="003801B9">
            <w:pPr>
              <w:spacing w:after="0" w:line="240" w:lineRule="auto"/>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Otroški in šolski dispanzer za boljšo dostopnost do IOZ</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69342A9"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Q0030-Q0033, Q0037-Q0039, Q0048, Q0206-Q0211, Q0235-Q0237, Q0262-Q0264, Q0265-Q0272, Q0284-Q0286</w:t>
            </w:r>
          </w:p>
        </w:tc>
        <w:tc>
          <w:tcPr>
            <w:tcW w:w="368" w:type="pct"/>
            <w:tcBorders>
              <w:top w:val="single" w:sz="4" w:space="0" w:color="auto"/>
              <w:left w:val="single" w:sz="4" w:space="0" w:color="auto"/>
              <w:bottom w:val="single" w:sz="4" w:space="0" w:color="auto"/>
              <w:right w:val="single" w:sz="4" w:space="0" w:color="auto"/>
            </w:tcBorders>
          </w:tcPr>
          <w:p w14:paraId="0A713972"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Z0032</w:t>
            </w:r>
          </w:p>
        </w:tc>
      </w:tr>
      <w:tr w:rsidR="003801B9" w:rsidRPr="00DC3DC8" w14:paraId="16788BE1" w14:textId="77777777" w:rsidTr="00C53AD8">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3143EA28"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noWrap/>
            <w:vAlign w:val="bottom"/>
          </w:tcPr>
          <w:p w14:paraId="157AD4D4" w14:textId="77777777" w:rsidR="003801B9" w:rsidRPr="00DC3DC8" w:rsidRDefault="003801B9" w:rsidP="003801B9">
            <w:pPr>
              <w:spacing w:after="0" w:line="240" w:lineRule="auto"/>
              <w:jc w:val="right"/>
              <w:rPr>
                <w:rFonts w:ascii="Calibri" w:eastAsia="Times New Roman" w:hAnsi="Calibri" w:cs="Calibri"/>
                <w:b/>
                <w:bCs/>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tcPr>
          <w:p w14:paraId="244389C1" w14:textId="77777777" w:rsidR="003801B9" w:rsidRPr="00DC3DC8" w:rsidRDefault="003801B9" w:rsidP="003801B9">
            <w:pPr>
              <w:spacing w:after="0" w:line="240" w:lineRule="auto"/>
              <w:rPr>
                <w:rFonts w:ascii="Calibri" w:eastAsia="Times New Roman" w:hAnsi="Calibri" w:cs="Calibri"/>
                <w:sz w:val="18"/>
                <w:szCs w:val="18"/>
                <w:lang w:eastAsia="sl-SI"/>
              </w:rPr>
            </w:pPr>
          </w:p>
        </w:tc>
        <w:tc>
          <w:tcPr>
            <w:tcW w:w="2331" w:type="pct"/>
            <w:tcBorders>
              <w:top w:val="single" w:sz="4" w:space="0" w:color="auto"/>
              <w:left w:val="nil"/>
              <w:bottom w:val="single" w:sz="4" w:space="0" w:color="auto"/>
              <w:right w:val="nil"/>
            </w:tcBorders>
            <w:shd w:val="clear" w:color="auto" w:fill="auto"/>
          </w:tcPr>
          <w:p w14:paraId="4E08888E" w14:textId="77777777" w:rsidR="003801B9" w:rsidRPr="00DC3DC8" w:rsidRDefault="003801B9" w:rsidP="003801B9">
            <w:pPr>
              <w:spacing w:after="0" w:line="240" w:lineRule="auto"/>
              <w:rPr>
                <w:rFonts w:ascii="Calibri" w:eastAsia="Times New Roman" w:hAnsi="Calibri" w:cs="Calibri"/>
                <w:sz w:val="18"/>
                <w:szCs w:val="18"/>
                <w:lang w:eastAsia="sl-SI"/>
              </w:rPr>
            </w:pP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86B8874" w14:textId="77777777" w:rsidR="003801B9" w:rsidRPr="00DC3DC8" w:rsidRDefault="003801B9" w:rsidP="003801B9">
            <w:pPr>
              <w:spacing w:after="0" w:line="240" w:lineRule="auto"/>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Šifrant 15.117</w:t>
            </w:r>
          </w:p>
        </w:tc>
        <w:tc>
          <w:tcPr>
            <w:tcW w:w="368" w:type="pct"/>
            <w:tcBorders>
              <w:top w:val="single" w:sz="4" w:space="0" w:color="auto"/>
              <w:left w:val="single" w:sz="4" w:space="0" w:color="auto"/>
              <w:bottom w:val="single" w:sz="4" w:space="0" w:color="auto"/>
              <w:right w:val="single" w:sz="4" w:space="0" w:color="auto"/>
            </w:tcBorders>
          </w:tcPr>
          <w:p w14:paraId="105E8DF4" w14:textId="77777777" w:rsidR="003801B9" w:rsidRPr="00DC3DC8" w:rsidRDefault="003801B9" w:rsidP="003801B9">
            <w:pPr>
              <w:spacing w:after="0" w:line="240" w:lineRule="auto"/>
              <w:rPr>
                <w:rFonts w:ascii="Calibri" w:eastAsia="Times New Roman" w:hAnsi="Calibri" w:cs="Calibri"/>
                <w:b/>
                <w:bCs/>
                <w:sz w:val="18"/>
                <w:szCs w:val="18"/>
                <w:lang w:eastAsia="sl-SI"/>
              </w:rPr>
            </w:pPr>
          </w:p>
        </w:tc>
      </w:tr>
    </w:tbl>
    <w:p w14:paraId="299B0018" w14:textId="77777777" w:rsidR="003801B9" w:rsidRPr="00DC3DC8" w:rsidRDefault="003801B9" w:rsidP="003801B9">
      <w:pPr>
        <w:tabs>
          <w:tab w:val="left" w:pos="5670"/>
        </w:tabs>
        <w:spacing w:after="0" w:line="240" w:lineRule="exact"/>
        <w:jc w:val="both"/>
        <w:rPr>
          <w:rFonts w:ascii="Calibri" w:eastAsia="Calibri" w:hAnsi="Calibri" w:cs="Times New Roman"/>
        </w:rPr>
      </w:pPr>
    </w:p>
    <w:p w14:paraId="3A5F6BE4" w14:textId="77777777" w:rsidR="003801B9" w:rsidRPr="00DC3DC8" w:rsidRDefault="003801B9" w:rsidP="003801B9">
      <w:pPr>
        <w:tabs>
          <w:tab w:val="left" w:pos="5670"/>
        </w:tabs>
        <w:spacing w:after="0" w:line="240" w:lineRule="exact"/>
        <w:jc w:val="both"/>
        <w:rPr>
          <w:rFonts w:ascii="Calibri" w:eastAsia="Calibri" w:hAnsi="Calibri" w:cs="Times New Roman"/>
        </w:rPr>
      </w:pPr>
    </w:p>
    <w:tbl>
      <w:tblPr>
        <w:tblW w:w="5000" w:type="pct"/>
        <w:tblCellMar>
          <w:left w:w="70" w:type="dxa"/>
          <w:right w:w="70" w:type="dxa"/>
        </w:tblCellMar>
        <w:tblLook w:val="04A0" w:firstRow="1" w:lastRow="0" w:firstColumn="1" w:lastColumn="0" w:noHBand="0" w:noVBand="1"/>
      </w:tblPr>
      <w:tblGrid>
        <w:gridCol w:w="864"/>
        <w:gridCol w:w="462"/>
        <w:gridCol w:w="481"/>
        <w:gridCol w:w="2569"/>
        <w:gridCol w:w="2554"/>
        <w:gridCol w:w="2468"/>
      </w:tblGrid>
      <w:tr w:rsidR="003801B9" w:rsidRPr="00DC3DC8" w14:paraId="62CD7E9A" w14:textId="77777777" w:rsidTr="0024223A">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79BAD521" w14:textId="77777777" w:rsidR="003801B9" w:rsidRPr="00DC3DC8" w:rsidRDefault="003801B9" w:rsidP="003801B9">
            <w:pPr>
              <w:spacing w:after="0" w:line="240" w:lineRule="auto"/>
              <w:rPr>
                <w:rFonts w:eastAsia="Times New Roman" w:cstheme="minorHAnsi"/>
                <w:sz w:val="18"/>
                <w:szCs w:val="18"/>
                <w:lang w:eastAsia="sl-SI"/>
              </w:rPr>
            </w:pPr>
          </w:p>
        </w:tc>
        <w:tc>
          <w:tcPr>
            <w:tcW w:w="1869" w:type="pct"/>
            <w:gridSpan w:val="3"/>
            <w:tcBorders>
              <w:top w:val="single" w:sz="4" w:space="0" w:color="auto"/>
              <w:left w:val="nil"/>
              <w:bottom w:val="single" w:sz="4" w:space="0" w:color="auto"/>
              <w:right w:val="single" w:sz="4" w:space="0" w:color="auto"/>
            </w:tcBorders>
            <w:shd w:val="clear" w:color="auto" w:fill="auto"/>
            <w:vAlign w:val="bottom"/>
          </w:tcPr>
          <w:p w14:paraId="0F8F41E3" w14:textId="77777777" w:rsidR="003801B9" w:rsidRPr="00DC3DC8" w:rsidRDefault="003801B9" w:rsidP="003801B9">
            <w:pPr>
              <w:spacing w:after="0" w:line="240" w:lineRule="auto"/>
              <w:rPr>
                <w:rFonts w:eastAsia="Times New Roman" w:cstheme="minorHAnsi"/>
                <w:sz w:val="18"/>
                <w:szCs w:val="18"/>
                <w:lang w:eastAsia="sl-SI"/>
              </w:rPr>
            </w:pPr>
          </w:p>
        </w:tc>
        <w:tc>
          <w:tcPr>
            <w:tcW w:w="2672" w:type="pct"/>
            <w:gridSpan w:val="2"/>
            <w:tcBorders>
              <w:top w:val="single" w:sz="4" w:space="0" w:color="auto"/>
              <w:left w:val="nil"/>
              <w:bottom w:val="single" w:sz="4" w:space="0" w:color="auto"/>
              <w:right w:val="single" w:sz="4" w:space="0" w:color="auto"/>
            </w:tcBorders>
          </w:tcPr>
          <w:p w14:paraId="05DF4E5A"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Storitve in seznami storitev, ki se za MedZZ ter vse razloge obravnav evidentirajo podrobno po osebah v podvrstah dejavnosti, ki se v ostalih primerih plačujejo v pavšalih</w:t>
            </w:r>
          </w:p>
        </w:tc>
      </w:tr>
      <w:tr w:rsidR="003801B9" w:rsidRPr="00DC3DC8" w14:paraId="13725257" w14:textId="77777777" w:rsidTr="0024223A">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07EC4B9" w14:textId="77777777" w:rsidR="003801B9" w:rsidRPr="00DC3DC8" w:rsidRDefault="003801B9" w:rsidP="003801B9">
            <w:pPr>
              <w:spacing w:after="0" w:line="240" w:lineRule="auto"/>
              <w:rPr>
                <w:rFonts w:eastAsia="Times New Roman" w:cstheme="minorHAnsi"/>
                <w:sz w:val="18"/>
                <w:szCs w:val="18"/>
                <w:lang w:eastAsia="sl-SI"/>
              </w:rPr>
            </w:pPr>
          </w:p>
        </w:tc>
        <w:tc>
          <w:tcPr>
            <w:tcW w:w="1869" w:type="pct"/>
            <w:gridSpan w:val="3"/>
            <w:tcBorders>
              <w:top w:val="single" w:sz="4" w:space="0" w:color="auto"/>
              <w:left w:val="nil"/>
              <w:bottom w:val="single" w:sz="4" w:space="0" w:color="auto"/>
              <w:right w:val="single" w:sz="4" w:space="0" w:color="auto"/>
            </w:tcBorders>
            <w:shd w:val="clear" w:color="auto" w:fill="auto"/>
            <w:vAlign w:val="bottom"/>
          </w:tcPr>
          <w:p w14:paraId="1A4D9A77" w14:textId="77777777" w:rsidR="003801B9" w:rsidRPr="00DC3DC8" w:rsidRDefault="003801B9" w:rsidP="003801B9">
            <w:pPr>
              <w:spacing w:after="0" w:line="240" w:lineRule="auto"/>
              <w:rPr>
                <w:rFonts w:eastAsia="Times New Roman" w:cstheme="minorHAnsi"/>
                <w:sz w:val="18"/>
                <w:szCs w:val="18"/>
                <w:lang w:eastAsia="sl-SI"/>
              </w:rPr>
            </w:pPr>
          </w:p>
        </w:tc>
        <w:tc>
          <w:tcPr>
            <w:tcW w:w="1359" w:type="pct"/>
            <w:tcBorders>
              <w:top w:val="single" w:sz="4" w:space="0" w:color="auto"/>
              <w:left w:val="nil"/>
              <w:bottom w:val="single" w:sz="4" w:space="0" w:color="auto"/>
              <w:right w:val="single" w:sz="4" w:space="0" w:color="auto"/>
            </w:tcBorders>
          </w:tcPr>
          <w:p w14:paraId="2E2B95FC"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cstheme="minorHAnsi"/>
                <w:sz w:val="18"/>
                <w:szCs w:val="18"/>
              </w:rPr>
              <w:t>MedZZ*</w:t>
            </w:r>
          </w:p>
        </w:tc>
        <w:tc>
          <w:tcPr>
            <w:tcW w:w="1313" w:type="pct"/>
            <w:tcBorders>
              <w:top w:val="single" w:sz="4" w:space="0" w:color="auto"/>
              <w:left w:val="nil"/>
              <w:bottom w:val="single" w:sz="4" w:space="0" w:color="auto"/>
              <w:right w:val="single" w:sz="4" w:space="0" w:color="auto"/>
            </w:tcBorders>
          </w:tcPr>
          <w:p w14:paraId="59259FDA"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cstheme="minorHAnsi"/>
                <w:sz w:val="18"/>
                <w:szCs w:val="18"/>
              </w:rPr>
              <w:t>RO 1, 2, 3, 4 in 5</w:t>
            </w:r>
          </w:p>
        </w:tc>
      </w:tr>
      <w:tr w:rsidR="003801B9" w:rsidRPr="00DC3DC8" w14:paraId="706A9CA7" w14:textId="77777777" w:rsidTr="00466410">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tcPr>
          <w:p w14:paraId="23CD9133"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Q86.210</w:t>
            </w:r>
          </w:p>
        </w:tc>
        <w:tc>
          <w:tcPr>
            <w:tcW w:w="1869" w:type="pct"/>
            <w:gridSpan w:val="3"/>
            <w:tcBorders>
              <w:top w:val="single" w:sz="4" w:space="0" w:color="auto"/>
              <w:left w:val="nil"/>
              <w:bottom w:val="single" w:sz="4" w:space="0" w:color="auto"/>
              <w:right w:val="single" w:sz="4" w:space="0" w:color="auto"/>
            </w:tcBorders>
            <w:shd w:val="clear" w:color="auto" w:fill="auto"/>
            <w:vAlign w:val="bottom"/>
          </w:tcPr>
          <w:p w14:paraId="204810D8"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zunajbolnišnična zdravstvena dejavnost</w:t>
            </w:r>
          </w:p>
        </w:tc>
        <w:tc>
          <w:tcPr>
            <w:tcW w:w="1359" w:type="pct"/>
            <w:tcBorders>
              <w:top w:val="single" w:sz="4" w:space="0" w:color="auto"/>
              <w:left w:val="nil"/>
              <w:bottom w:val="single" w:sz="4" w:space="0" w:color="auto"/>
              <w:right w:val="single" w:sz="4" w:space="0" w:color="auto"/>
            </w:tcBorders>
          </w:tcPr>
          <w:p w14:paraId="07BAF49B" w14:textId="77777777" w:rsidR="003801B9" w:rsidRPr="00DC3DC8" w:rsidRDefault="003801B9" w:rsidP="003801B9">
            <w:pPr>
              <w:spacing w:after="0" w:line="240" w:lineRule="auto"/>
              <w:rPr>
                <w:rFonts w:eastAsia="Times New Roman" w:cstheme="minorHAnsi"/>
                <w:sz w:val="18"/>
                <w:szCs w:val="18"/>
                <w:lang w:eastAsia="sl-SI"/>
              </w:rPr>
            </w:pPr>
          </w:p>
        </w:tc>
        <w:tc>
          <w:tcPr>
            <w:tcW w:w="1313" w:type="pct"/>
            <w:tcBorders>
              <w:top w:val="single" w:sz="4" w:space="0" w:color="auto"/>
              <w:left w:val="nil"/>
              <w:bottom w:val="single" w:sz="4" w:space="0" w:color="auto"/>
              <w:right w:val="single" w:sz="4" w:space="0" w:color="auto"/>
            </w:tcBorders>
          </w:tcPr>
          <w:p w14:paraId="2A469263" w14:textId="77777777" w:rsidR="003801B9" w:rsidRPr="00DC3DC8" w:rsidRDefault="003801B9" w:rsidP="003801B9">
            <w:pPr>
              <w:spacing w:after="0" w:line="240" w:lineRule="auto"/>
              <w:rPr>
                <w:rFonts w:eastAsia="Times New Roman" w:cstheme="minorHAnsi"/>
                <w:sz w:val="18"/>
                <w:szCs w:val="18"/>
                <w:lang w:eastAsia="sl-SI"/>
              </w:rPr>
            </w:pPr>
          </w:p>
        </w:tc>
      </w:tr>
      <w:tr w:rsidR="003801B9" w:rsidRPr="00DC3DC8" w14:paraId="209C7D20" w14:textId="77777777" w:rsidTr="00466410">
        <w:trPr>
          <w:trHeight w:val="255"/>
        </w:trPr>
        <w:tc>
          <w:tcPr>
            <w:tcW w:w="45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508B7D1" w14:textId="77777777" w:rsidR="003801B9" w:rsidRPr="00DC3DC8" w:rsidRDefault="003801B9" w:rsidP="003801B9">
            <w:pPr>
              <w:spacing w:after="0" w:line="240" w:lineRule="auto"/>
              <w:rPr>
                <w:rFonts w:eastAsia="Times New Roman" w:cstheme="minorHAnsi"/>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noWrap/>
          </w:tcPr>
          <w:p w14:paraId="7A809E38"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302</w:t>
            </w:r>
          </w:p>
        </w:tc>
        <w:tc>
          <w:tcPr>
            <w:tcW w:w="1623" w:type="pct"/>
            <w:gridSpan w:val="2"/>
            <w:tcBorders>
              <w:top w:val="single" w:sz="4" w:space="0" w:color="auto"/>
              <w:left w:val="single" w:sz="4" w:space="0" w:color="auto"/>
              <w:bottom w:val="single" w:sz="4" w:space="0" w:color="auto"/>
              <w:right w:val="single" w:sz="4" w:space="0" w:color="auto"/>
            </w:tcBorders>
            <w:shd w:val="clear" w:color="auto" w:fill="auto"/>
            <w:noWrap/>
          </w:tcPr>
          <w:p w14:paraId="3342CD9F"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 xml:space="preserve">Splošna in družinska medicina v </w:t>
            </w:r>
          </w:p>
          <w:p w14:paraId="24D7093B"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splošni zunajbolnišnični dejavnosti</w:t>
            </w:r>
          </w:p>
        </w:tc>
        <w:tc>
          <w:tcPr>
            <w:tcW w:w="1359" w:type="pct"/>
            <w:tcBorders>
              <w:top w:val="single" w:sz="4" w:space="0" w:color="auto"/>
              <w:left w:val="single" w:sz="4" w:space="0" w:color="auto"/>
              <w:bottom w:val="single" w:sz="4" w:space="0" w:color="auto"/>
              <w:right w:val="single" w:sz="4" w:space="0" w:color="auto"/>
            </w:tcBorders>
          </w:tcPr>
          <w:p w14:paraId="6889E650" w14:textId="77777777" w:rsidR="003801B9" w:rsidRPr="00DC3DC8" w:rsidRDefault="003801B9" w:rsidP="003801B9">
            <w:pPr>
              <w:spacing w:after="0" w:line="240" w:lineRule="auto"/>
              <w:rPr>
                <w:rFonts w:eastAsia="Times New Roman" w:cstheme="minorHAnsi"/>
                <w:sz w:val="18"/>
                <w:szCs w:val="18"/>
                <w:lang w:eastAsia="sl-SI"/>
              </w:rPr>
            </w:pPr>
          </w:p>
        </w:tc>
        <w:tc>
          <w:tcPr>
            <w:tcW w:w="1313" w:type="pct"/>
            <w:tcBorders>
              <w:top w:val="single" w:sz="4" w:space="0" w:color="auto"/>
              <w:left w:val="single" w:sz="4" w:space="0" w:color="auto"/>
              <w:bottom w:val="single" w:sz="4" w:space="0" w:color="auto"/>
              <w:right w:val="single" w:sz="4" w:space="0" w:color="auto"/>
            </w:tcBorders>
          </w:tcPr>
          <w:p w14:paraId="0D5568A7" w14:textId="77777777" w:rsidR="003801B9" w:rsidRPr="00DC3DC8" w:rsidRDefault="003801B9" w:rsidP="003801B9">
            <w:pPr>
              <w:spacing w:after="0" w:line="240" w:lineRule="auto"/>
              <w:rPr>
                <w:rFonts w:eastAsia="Times New Roman" w:cstheme="minorHAnsi"/>
                <w:sz w:val="18"/>
                <w:szCs w:val="18"/>
                <w:lang w:eastAsia="sl-SI"/>
              </w:rPr>
            </w:pPr>
          </w:p>
        </w:tc>
      </w:tr>
      <w:tr w:rsidR="003801B9" w:rsidRPr="00DC3DC8" w14:paraId="30A253CC" w14:textId="77777777" w:rsidTr="0024223A">
        <w:trPr>
          <w:trHeight w:val="255"/>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78FFC8" w14:textId="77777777" w:rsidR="003801B9" w:rsidRPr="00DC3DC8" w:rsidRDefault="003801B9" w:rsidP="003801B9">
            <w:pPr>
              <w:spacing w:after="0" w:line="240" w:lineRule="auto"/>
              <w:rPr>
                <w:rFonts w:eastAsia="Times New Roman" w:cstheme="minorHAnsi"/>
                <w:bCs/>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vAlign w:val="bottom"/>
          </w:tcPr>
          <w:p w14:paraId="72F9563F" w14:textId="77777777" w:rsidR="003801B9" w:rsidRPr="00DC3DC8" w:rsidRDefault="003801B9" w:rsidP="003801B9">
            <w:pPr>
              <w:spacing w:after="0" w:line="240" w:lineRule="auto"/>
              <w:rPr>
                <w:rFonts w:eastAsia="Times New Roman" w:cstheme="minorHAnsi"/>
                <w:bCs/>
                <w:sz w:val="18"/>
                <w:szCs w:val="18"/>
                <w:lang w:eastAsia="sl-SI"/>
              </w:rPr>
            </w:pPr>
          </w:p>
        </w:tc>
        <w:tc>
          <w:tcPr>
            <w:tcW w:w="256" w:type="pct"/>
            <w:tcBorders>
              <w:top w:val="single" w:sz="4" w:space="0" w:color="auto"/>
              <w:left w:val="nil"/>
              <w:bottom w:val="single" w:sz="4" w:space="0" w:color="auto"/>
              <w:right w:val="single" w:sz="4" w:space="0" w:color="auto"/>
            </w:tcBorders>
            <w:shd w:val="clear" w:color="auto" w:fill="auto"/>
          </w:tcPr>
          <w:p w14:paraId="626EB0BC" w14:textId="77777777" w:rsidR="003801B9" w:rsidRPr="00DC3DC8" w:rsidRDefault="003801B9" w:rsidP="003801B9">
            <w:pPr>
              <w:spacing w:after="0" w:line="240" w:lineRule="auto"/>
              <w:rPr>
                <w:rFonts w:eastAsia="Times New Roman" w:cstheme="minorHAnsi"/>
                <w:bCs/>
                <w:sz w:val="18"/>
                <w:szCs w:val="18"/>
                <w:lang w:eastAsia="sl-SI"/>
              </w:rPr>
            </w:pPr>
            <w:r w:rsidRPr="00DC3DC8">
              <w:rPr>
                <w:rFonts w:eastAsia="Times New Roman" w:cstheme="minorHAnsi"/>
                <w:bCs/>
                <w:sz w:val="18"/>
                <w:szCs w:val="18"/>
                <w:lang w:eastAsia="sl-SI"/>
              </w:rPr>
              <w:t>064</w:t>
            </w:r>
          </w:p>
        </w:tc>
        <w:tc>
          <w:tcPr>
            <w:tcW w:w="1367" w:type="pct"/>
            <w:tcBorders>
              <w:top w:val="single" w:sz="4" w:space="0" w:color="auto"/>
              <w:left w:val="nil"/>
              <w:bottom w:val="single" w:sz="4" w:space="0" w:color="auto"/>
              <w:right w:val="single" w:sz="4" w:space="0" w:color="auto"/>
            </w:tcBorders>
            <w:shd w:val="clear" w:color="auto" w:fill="auto"/>
          </w:tcPr>
          <w:p w14:paraId="4B7F1442" w14:textId="77777777" w:rsidR="003801B9" w:rsidRPr="00DC3DC8" w:rsidRDefault="003801B9" w:rsidP="003801B9">
            <w:pPr>
              <w:spacing w:after="0" w:line="240" w:lineRule="auto"/>
              <w:rPr>
                <w:rFonts w:eastAsia="Times New Roman" w:cstheme="minorHAnsi"/>
                <w:bCs/>
                <w:sz w:val="18"/>
                <w:szCs w:val="18"/>
                <w:lang w:eastAsia="sl-SI"/>
              </w:rPr>
            </w:pPr>
            <w:r w:rsidRPr="00DC3DC8">
              <w:rPr>
                <w:rFonts w:eastAsia="Times New Roman" w:cstheme="minorHAnsi"/>
                <w:bCs/>
                <w:sz w:val="18"/>
                <w:szCs w:val="18"/>
                <w:lang w:eastAsia="sl-SI"/>
              </w:rPr>
              <w:t>Splošne ambulante za boljšo dostopnost do IOZ</w:t>
            </w:r>
          </w:p>
        </w:tc>
        <w:tc>
          <w:tcPr>
            <w:tcW w:w="1359" w:type="pct"/>
            <w:tcBorders>
              <w:top w:val="single" w:sz="4" w:space="0" w:color="auto"/>
              <w:left w:val="single" w:sz="4" w:space="0" w:color="auto"/>
              <w:bottom w:val="single" w:sz="4" w:space="0" w:color="auto"/>
              <w:right w:val="single" w:sz="4" w:space="0" w:color="auto"/>
            </w:tcBorders>
          </w:tcPr>
          <w:p w14:paraId="6538FA65" w14:textId="77777777" w:rsidR="003801B9" w:rsidRPr="00DC3DC8" w:rsidRDefault="003801B9" w:rsidP="003801B9">
            <w:pPr>
              <w:spacing w:after="0" w:line="240" w:lineRule="auto"/>
              <w:rPr>
                <w:rFonts w:eastAsia="Times New Roman" w:cstheme="minorHAnsi"/>
                <w:b/>
                <w:sz w:val="18"/>
                <w:szCs w:val="18"/>
                <w:lang w:eastAsia="sl-SI"/>
              </w:rPr>
            </w:pPr>
            <w:r w:rsidRPr="00DC3DC8">
              <w:rPr>
                <w:rFonts w:eastAsia="Times New Roman" w:cstheme="minorHAnsi"/>
                <w:b/>
                <w:sz w:val="18"/>
                <w:szCs w:val="18"/>
                <w:lang w:eastAsia="sl-SI"/>
              </w:rPr>
              <w:t>Namesto E0010=Šifrant 15.20 (razen K0024, K0044, K0049, K0054, K0055), E0743</w:t>
            </w:r>
          </w:p>
        </w:tc>
        <w:tc>
          <w:tcPr>
            <w:tcW w:w="1313" w:type="pct"/>
            <w:tcBorders>
              <w:top w:val="single" w:sz="4" w:space="0" w:color="auto"/>
              <w:left w:val="single" w:sz="4" w:space="0" w:color="auto"/>
              <w:bottom w:val="single" w:sz="4" w:space="0" w:color="auto"/>
              <w:right w:val="single" w:sz="4" w:space="0" w:color="auto"/>
            </w:tcBorders>
          </w:tcPr>
          <w:p w14:paraId="55EAED66" w14:textId="77777777" w:rsidR="003801B9" w:rsidRPr="00DC3DC8" w:rsidRDefault="003801B9" w:rsidP="003801B9">
            <w:pPr>
              <w:spacing w:after="0" w:line="240" w:lineRule="auto"/>
              <w:rPr>
                <w:rFonts w:eastAsia="Times New Roman" w:cstheme="minorHAnsi"/>
                <w:b/>
                <w:sz w:val="18"/>
                <w:szCs w:val="18"/>
                <w:lang w:eastAsia="sl-SI"/>
              </w:rPr>
            </w:pPr>
            <w:r w:rsidRPr="00DC3DC8">
              <w:rPr>
                <w:rFonts w:eastAsia="Times New Roman" w:cstheme="minorHAnsi"/>
                <w:b/>
                <w:sz w:val="18"/>
                <w:szCs w:val="18"/>
                <w:lang w:eastAsia="sl-SI"/>
              </w:rPr>
              <w:t>Namesto E0010=Šifrant 15.20 (razen K0024, K0044, K0049, K0054, K0055), E0743</w:t>
            </w:r>
          </w:p>
        </w:tc>
      </w:tr>
      <w:tr w:rsidR="003801B9" w:rsidRPr="00DC3DC8" w14:paraId="199CF32A" w14:textId="77777777" w:rsidTr="0024223A">
        <w:trPr>
          <w:trHeight w:val="283"/>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5889B" w14:textId="77777777" w:rsidR="003801B9" w:rsidRPr="00DC3DC8" w:rsidRDefault="003801B9" w:rsidP="003801B9">
            <w:pPr>
              <w:spacing w:after="0" w:line="240" w:lineRule="auto"/>
              <w:rPr>
                <w:rFonts w:eastAsia="Times New Roman" w:cstheme="minorHAnsi"/>
                <w:bCs/>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tcPr>
          <w:p w14:paraId="5E0697CB" w14:textId="77777777" w:rsidR="003801B9" w:rsidRPr="00DC3DC8" w:rsidRDefault="003801B9" w:rsidP="003801B9">
            <w:pPr>
              <w:spacing w:after="0" w:line="240" w:lineRule="auto"/>
              <w:rPr>
                <w:rFonts w:eastAsia="Times New Roman" w:cstheme="minorHAnsi"/>
                <w:bCs/>
                <w:sz w:val="18"/>
                <w:szCs w:val="18"/>
                <w:lang w:eastAsia="sl-SI"/>
              </w:rPr>
            </w:pPr>
            <w:r w:rsidRPr="00DC3DC8">
              <w:rPr>
                <w:rFonts w:ascii="Calibri" w:eastAsia="Times New Roman" w:hAnsi="Calibri" w:cs="Calibri"/>
                <w:sz w:val="18"/>
                <w:szCs w:val="18"/>
                <w:lang w:eastAsia="sl-SI"/>
              </w:rPr>
              <w:t>327</w:t>
            </w:r>
          </w:p>
        </w:tc>
        <w:tc>
          <w:tcPr>
            <w:tcW w:w="2982" w:type="pct"/>
            <w:gridSpan w:val="3"/>
            <w:tcBorders>
              <w:top w:val="single" w:sz="4" w:space="0" w:color="auto"/>
              <w:left w:val="nil"/>
              <w:bottom w:val="single" w:sz="4" w:space="0" w:color="auto"/>
              <w:right w:val="single" w:sz="4" w:space="0" w:color="auto"/>
            </w:tcBorders>
            <w:shd w:val="clear" w:color="auto" w:fill="auto"/>
          </w:tcPr>
          <w:p w14:paraId="3DFA3FC1" w14:textId="77777777" w:rsidR="003801B9" w:rsidRPr="00DC3DC8" w:rsidRDefault="003801B9" w:rsidP="003801B9">
            <w:pPr>
              <w:spacing w:after="0" w:line="240" w:lineRule="auto"/>
              <w:rPr>
                <w:rFonts w:eastAsia="Times New Roman" w:cstheme="minorHAnsi"/>
                <w:b/>
                <w:sz w:val="18"/>
                <w:szCs w:val="18"/>
                <w:lang w:eastAsia="sl-SI"/>
              </w:rPr>
            </w:pPr>
            <w:r w:rsidRPr="00DC3DC8">
              <w:rPr>
                <w:rFonts w:ascii="Calibri" w:eastAsia="Times New Roman" w:hAnsi="Calibri" w:cs="Calibri"/>
                <w:sz w:val="18"/>
                <w:szCs w:val="18"/>
                <w:lang w:eastAsia="sl-SI"/>
              </w:rPr>
              <w:t>Pediatrija v splošni zunajbolnišnični dejavnosti</w:t>
            </w:r>
          </w:p>
        </w:tc>
        <w:tc>
          <w:tcPr>
            <w:tcW w:w="1313" w:type="pct"/>
            <w:tcBorders>
              <w:top w:val="single" w:sz="4" w:space="0" w:color="auto"/>
              <w:left w:val="single" w:sz="4" w:space="0" w:color="auto"/>
              <w:bottom w:val="single" w:sz="4" w:space="0" w:color="auto"/>
              <w:right w:val="single" w:sz="4" w:space="0" w:color="auto"/>
            </w:tcBorders>
          </w:tcPr>
          <w:p w14:paraId="446CB65D" w14:textId="77777777" w:rsidR="003801B9" w:rsidRPr="00DC3DC8" w:rsidRDefault="003801B9" w:rsidP="003801B9">
            <w:pPr>
              <w:spacing w:after="0" w:line="240" w:lineRule="auto"/>
              <w:rPr>
                <w:rFonts w:eastAsia="Times New Roman" w:cstheme="minorHAnsi"/>
                <w:b/>
                <w:sz w:val="18"/>
                <w:szCs w:val="18"/>
                <w:lang w:eastAsia="sl-SI"/>
              </w:rPr>
            </w:pPr>
          </w:p>
        </w:tc>
      </w:tr>
      <w:tr w:rsidR="003801B9" w:rsidRPr="00DC3DC8" w14:paraId="76B793B0" w14:textId="77777777" w:rsidTr="0024223A">
        <w:trPr>
          <w:trHeight w:val="255"/>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2962E2" w14:textId="77777777" w:rsidR="003801B9" w:rsidRPr="00DC3DC8" w:rsidRDefault="003801B9" w:rsidP="003801B9">
            <w:pPr>
              <w:spacing w:after="0" w:line="240" w:lineRule="auto"/>
              <w:rPr>
                <w:rFonts w:eastAsia="Times New Roman" w:cstheme="minorHAnsi"/>
                <w:bCs/>
                <w:sz w:val="18"/>
                <w:szCs w:val="18"/>
                <w:lang w:eastAsia="sl-SI"/>
              </w:rPr>
            </w:pPr>
          </w:p>
        </w:tc>
        <w:tc>
          <w:tcPr>
            <w:tcW w:w="246" w:type="pct"/>
            <w:tcBorders>
              <w:top w:val="single" w:sz="4" w:space="0" w:color="auto"/>
              <w:left w:val="nil"/>
              <w:bottom w:val="single" w:sz="4" w:space="0" w:color="auto"/>
              <w:right w:val="single" w:sz="4" w:space="0" w:color="auto"/>
            </w:tcBorders>
            <w:shd w:val="clear" w:color="auto" w:fill="auto"/>
            <w:vAlign w:val="bottom"/>
          </w:tcPr>
          <w:p w14:paraId="0FC33CAA" w14:textId="77777777" w:rsidR="003801B9" w:rsidRPr="00DC3DC8" w:rsidRDefault="003801B9" w:rsidP="003801B9">
            <w:pPr>
              <w:spacing w:after="0" w:line="240" w:lineRule="auto"/>
              <w:rPr>
                <w:rFonts w:eastAsia="Times New Roman" w:cstheme="minorHAnsi"/>
                <w:bCs/>
                <w:sz w:val="18"/>
                <w:szCs w:val="18"/>
                <w:lang w:eastAsia="sl-SI"/>
              </w:rPr>
            </w:pPr>
          </w:p>
        </w:tc>
        <w:tc>
          <w:tcPr>
            <w:tcW w:w="256" w:type="pct"/>
            <w:tcBorders>
              <w:top w:val="single" w:sz="4" w:space="0" w:color="auto"/>
              <w:left w:val="nil"/>
              <w:bottom w:val="single" w:sz="4" w:space="0" w:color="auto"/>
              <w:right w:val="single" w:sz="4" w:space="0" w:color="auto"/>
            </w:tcBorders>
            <w:shd w:val="clear" w:color="auto" w:fill="auto"/>
          </w:tcPr>
          <w:p w14:paraId="4FFB00F3" w14:textId="77777777" w:rsidR="003801B9" w:rsidRPr="00DC3DC8" w:rsidRDefault="003801B9" w:rsidP="003801B9">
            <w:pPr>
              <w:spacing w:after="0" w:line="240" w:lineRule="auto"/>
              <w:rPr>
                <w:rFonts w:eastAsia="Times New Roman" w:cstheme="minorHAnsi"/>
                <w:bCs/>
                <w:sz w:val="18"/>
                <w:szCs w:val="18"/>
                <w:lang w:eastAsia="sl-SI"/>
              </w:rPr>
            </w:pPr>
            <w:r w:rsidRPr="00DC3DC8">
              <w:rPr>
                <w:rFonts w:eastAsia="Times New Roman" w:cstheme="minorHAnsi"/>
                <w:bCs/>
                <w:sz w:val="18"/>
                <w:szCs w:val="18"/>
                <w:lang w:eastAsia="sl-SI"/>
              </w:rPr>
              <w:t>065</w:t>
            </w:r>
          </w:p>
        </w:tc>
        <w:tc>
          <w:tcPr>
            <w:tcW w:w="1367" w:type="pct"/>
            <w:tcBorders>
              <w:top w:val="single" w:sz="4" w:space="0" w:color="auto"/>
              <w:left w:val="nil"/>
              <w:bottom w:val="single" w:sz="4" w:space="0" w:color="auto"/>
              <w:right w:val="single" w:sz="4" w:space="0" w:color="auto"/>
            </w:tcBorders>
            <w:shd w:val="clear" w:color="auto" w:fill="auto"/>
          </w:tcPr>
          <w:p w14:paraId="6B605725" w14:textId="77777777" w:rsidR="003801B9" w:rsidRPr="00DC3DC8" w:rsidRDefault="003801B9" w:rsidP="003801B9">
            <w:pPr>
              <w:spacing w:after="0" w:line="240" w:lineRule="auto"/>
              <w:rPr>
                <w:rFonts w:eastAsia="Times New Roman" w:cstheme="minorHAnsi"/>
                <w:bCs/>
                <w:sz w:val="18"/>
                <w:szCs w:val="18"/>
                <w:lang w:eastAsia="sl-SI"/>
              </w:rPr>
            </w:pPr>
            <w:r w:rsidRPr="00DC3DC8">
              <w:rPr>
                <w:rFonts w:eastAsia="Times New Roman" w:cstheme="minorHAnsi"/>
                <w:bCs/>
                <w:sz w:val="18"/>
                <w:szCs w:val="18"/>
                <w:lang w:eastAsia="sl-SI"/>
              </w:rPr>
              <w:t>Otroški in šolski dispanzer za boljšo dostopnost do IOZ</w:t>
            </w:r>
          </w:p>
        </w:tc>
        <w:tc>
          <w:tcPr>
            <w:tcW w:w="1359" w:type="pct"/>
            <w:tcBorders>
              <w:top w:val="single" w:sz="4" w:space="0" w:color="auto"/>
              <w:left w:val="single" w:sz="4" w:space="0" w:color="auto"/>
              <w:bottom w:val="single" w:sz="4" w:space="0" w:color="auto"/>
              <w:right w:val="single" w:sz="4" w:space="0" w:color="auto"/>
            </w:tcBorders>
          </w:tcPr>
          <w:p w14:paraId="69FC23B8" w14:textId="266BBF61" w:rsidR="003801B9" w:rsidRPr="00DC3DC8" w:rsidRDefault="003801B9" w:rsidP="003801B9">
            <w:pPr>
              <w:spacing w:after="0" w:line="240" w:lineRule="auto"/>
              <w:rPr>
                <w:rFonts w:eastAsia="Times New Roman" w:cstheme="minorHAnsi"/>
                <w:b/>
                <w:sz w:val="18"/>
                <w:szCs w:val="18"/>
                <w:lang w:eastAsia="sl-SI"/>
              </w:rPr>
            </w:pPr>
            <w:r w:rsidRPr="00DC3DC8">
              <w:rPr>
                <w:rFonts w:eastAsia="Times New Roman" w:cstheme="minorHAnsi"/>
                <w:b/>
                <w:sz w:val="18"/>
                <w:szCs w:val="18"/>
                <w:lang w:eastAsia="sl-SI"/>
              </w:rPr>
              <w:t>Namesto E0010=</w:t>
            </w:r>
            <w:r w:rsidR="00B95F9F" w:rsidRPr="00DC3DC8">
              <w:rPr>
                <w:rFonts w:eastAsia="Times New Roman" w:cstheme="minorHAnsi"/>
                <w:b/>
                <w:sz w:val="18"/>
                <w:szCs w:val="18"/>
                <w:lang w:eastAsia="sl-SI"/>
              </w:rPr>
              <w:t>Šifrant 15.20 (razen K0044), E0743</w:t>
            </w:r>
          </w:p>
        </w:tc>
        <w:tc>
          <w:tcPr>
            <w:tcW w:w="1313" w:type="pct"/>
            <w:tcBorders>
              <w:top w:val="single" w:sz="4" w:space="0" w:color="auto"/>
              <w:left w:val="single" w:sz="4" w:space="0" w:color="auto"/>
              <w:bottom w:val="single" w:sz="4" w:space="0" w:color="auto"/>
              <w:right w:val="single" w:sz="4" w:space="0" w:color="auto"/>
            </w:tcBorders>
          </w:tcPr>
          <w:p w14:paraId="08F33EA9" w14:textId="0E99BC91" w:rsidR="003801B9" w:rsidRPr="00DC3DC8" w:rsidRDefault="003801B9" w:rsidP="003801B9">
            <w:pPr>
              <w:spacing w:after="0" w:line="240" w:lineRule="auto"/>
              <w:rPr>
                <w:rFonts w:eastAsia="Times New Roman" w:cstheme="minorHAnsi"/>
                <w:b/>
                <w:sz w:val="18"/>
                <w:szCs w:val="18"/>
                <w:lang w:eastAsia="sl-SI"/>
              </w:rPr>
            </w:pPr>
            <w:r w:rsidRPr="00DC3DC8">
              <w:rPr>
                <w:rFonts w:eastAsia="Times New Roman" w:cstheme="minorHAnsi"/>
                <w:b/>
                <w:sz w:val="18"/>
                <w:szCs w:val="18"/>
                <w:lang w:eastAsia="sl-SI"/>
              </w:rPr>
              <w:t>Namesto E0010=</w:t>
            </w:r>
            <w:r w:rsidR="00B95F9F" w:rsidRPr="00DC3DC8">
              <w:rPr>
                <w:rFonts w:eastAsia="Times New Roman" w:cstheme="minorHAnsi"/>
                <w:b/>
                <w:sz w:val="18"/>
                <w:szCs w:val="18"/>
                <w:lang w:eastAsia="sl-SI"/>
              </w:rPr>
              <w:t>Šifrant 15.20 (razen K0044), E0743</w:t>
            </w:r>
          </w:p>
        </w:tc>
      </w:tr>
    </w:tbl>
    <w:p w14:paraId="7BA9ACE9" w14:textId="77777777" w:rsidR="003801B9" w:rsidRPr="00DC3DC8" w:rsidRDefault="003801B9" w:rsidP="003801B9">
      <w:pPr>
        <w:tabs>
          <w:tab w:val="left" w:pos="5670"/>
        </w:tabs>
        <w:spacing w:after="0" w:line="240" w:lineRule="exact"/>
        <w:jc w:val="both"/>
        <w:rPr>
          <w:rFonts w:ascii="Calibri" w:eastAsia="Calibri" w:hAnsi="Calibri" w:cs="Times New Roman"/>
        </w:rPr>
      </w:pPr>
    </w:p>
    <w:p w14:paraId="375B6F17" w14:textId="77777777" w:rsidR="003801B9" w:rsidRPr="00DC3DC8" w:rsidRDefault="003801B9" w:rsidP="003801B9">
      <w:pPr>
        <w:tabs>
          <w:tab w:val="left" w:pos="5670"/>
        </w:tabs>
        <w:spacing w:after="0" w:line="240" w:lineRule="exact"/>
        <w:jc w:val="both"/>
        <w:rPr>
          <w:rFonts w:ascii="Calibri" w:eastAsia="Calibri" w:hAnsi="Calibri" w:cs="Times New Roman"/>
        </w:rPr>
      </w:pPr>
    </w:p>
    <w:p w14:paraId="49C1965A" w14:textId="77777777" w:rsidR="003801B9" w:rsidRPr="00DC3DC8" w:rsidRDefault="003801B9" w:rsidP="00C53AD8">
      <w:pPr>
        <w:numPr>
          <w:ilvl w:val="0"/>
          <w:numId w:val="17"/>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Times New Roman" w:hAnsi="Calibri" w:cs="Calibri"/>
          <w:lang w:eastAsia="sl-SI"/>
        </w:rPr>
        <w:t>povezovalni šifrant K2 »VZD s storitvami glede na vrsto dokumenta po strukturi«:</w:t>
      </w:r>
    </w:p>
    <w:p w14:paraId="22B1E219" w14:textId="77777777" w:rsidR="003801B9" w:rsidRPr="00DC3DC8" w:rsidRDefault="003801B9" w:rsidP="003801B9">
      <w:pPr>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791"/>
        <w:gridCol w:w="523"/>
        <w:gridCol w:w="440"/>
        <w:gridCol w:w="2193"/>
        <w:gridCol w:w="3015"/>
        <w:gridCol w:w="801"/>
        <w:gridCol w:w="1635"/>
      </w:tblGrid>
      <w:tr w:rsidR="003801B9" w:rsidRPr="00DC3DC8" w14:paraId="5D5E3755" w14:textId="77777777" w:rsidTr="0024223A">
        <w:trPr>
          <w:trHeight w:val="255"/>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1D3BA609" w14:textId="77777777" w:rsidR="003801B9" w:rsidRPr="00DC3DC8" w:rsidRDefault="003801B9" w:rsidP="003801B9">
            <w:pPr>
              <w:spacing w:after="0" w:line="240" w:lineRule="auto"/>
              <w:rPr>
                <w:rFonts w:eastAsia="Times New Roman" w:cstheme="minorHAnsi"/>
                <w:sz w:val="18"/>
                <w:szCs w:val="18"/>
                <w:lang w:eastAsia="sl-SI"/>
              </w:rPr>
            </w:pPr>
          </w:p>
        </w:tc>
        <w:tc>
          <w:tcPr>
            <w:tcW w:w="1679" w:type="pct"/>
            <w:gridSpan w:val="3"/>
            <w:tcBorders>
              <w:top w:val="single" w:sz="4" w:space="0" w:color="auto"/>
              <w:left w:val="nil"/>
              <w:bottom w:val="single" w:sz="4" w:space="0" w:color="auto"/>
              <w:right w:val="single" w:sz="4" w:space="0" w:color="auto"/>
            </w:tcBorders>
            <w:shd w:val="clear" w:color="auto" w:fill="auto"/>
            <w:vAlign w:val="bottom"/>
          </w:tcPr>
          <w:p w14:paraId="145D6FA7" w14:textId="77777777" w:rsidR="003801B9" w:rsidRPr="00DC3DC8" w:rsidRDefault="003801B9" w:rsidP="003801B9">
            <w:pPr>
              <w:spacing w:after="0" w:line="240" w:lineRule="auto"/>
              <w:rPr>
                <w:rFonts w:eastAsia="Times New Roman" w:cstheme="minorHAnsi"/>
                <w:sz w:val="18"/>
                <w:szCs w:val="18"/>
                <w:lang w:eastAsia="sl-SI"/>
              </w:rPr>
            </w:pPr>
          </w:p>
        </w:tc>
        <w:tc>
          <w:tcPr>
            <w:tcW w:w="2900" w:type="pct"/>
            <w:gridSpan w:val="3"/>
            <w:tcBorders>
              <w:top w:val="single" w:sz="4" w:space="0" w:color="auto"/>
              <w:left w:val="nil"/>
              <w:bottom w:val="single" w:sz="4" w:space="0" w:color="auto"/>
              <w:right w:val="single" w:sz="4" w:space="0" w:color="auto"/>
            </w:tcBorders>
          </w:tcPr>
          <w:p w14:paraId="5F911EFA"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VD 4-6 Obravnava</w:t>
            </w:r>
          </w:p>
        </w:tc>
      </w:tr>
      <w:tr w:rsidR="003801B9" w:rsidRPr="00DC3DC8" w14:paraId="7A686CB8"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27DA1E8" w14:textId="77777777" w:rsidR="003801B9" w:rsidRPr="00DC3DC8" w:rsidRDefault="003801B9" w:rsidP="003801B9">
            <w:pPr>
              <w:spacing w:after="0" w:line="240" w:lineRule="auto"/>
              <w:rPr>
                <w:rFonts w:eastAsia="Times New Roman" w:cstheme="minorHAnsi"/>
                <w:sz w:val="18"/>
                <w:szCs w:val="18"/>
                <w:lang w:eastAsia="sl-SI"/>
              </w:rPr>
            </w:pPr>
          </w:p>
        </w:tc>
        <w:tc>
          <w:tcPr>
            <w:tcW w:w="1679" w:type="pct"/>
            <w:gridSpan w:val="3"/>
            <w:tcBorders>
              <w:top w:val="single" w:sz="4" w:space="0" w:color="auto"/>
              <w:left w:val="nil"/>
              <w:bottom w:val="single" w:sz="4" w:space="0" w:color="auto"/>
              <w:right w:val="single" w:sz="4" w:space="0" w:color="auto"/>
            </w:tcBorders>
            <w:shd w:val="clear" w:color="auto" w:fill="auto"/>
          </w:tcPr>
          <w:p w14:paraId="28B8F595" w14:textId="77777777" w:rsidR="003801B9" w:rsidRPr="00DC3DC8" w:rsidRDefault="003801B9" w:rsidP="003801B9">
            <w:pPr>
              <w:spacing w:after="0" w:line="240" w:lineRule="auto"/>
              <w:rPr>
                <w:rFonts w:eastAsia="Times New Roman" w:cstheme="minorHAnsi"/>
                <w:sz w:val="18"/>
                <w:szCs w:val="18"/>
                <w:lang w:eastAsia="sl-SI"/>
              </w:rPr>
            </w:pPr>
          </w:p>
        </w:tc>
        <w:tc>
          <w:tcPr>
            <w:tcW w:w="1604" w:type="pct"/>
            <w:tcBorders>
              <w:top w:val="single" w:sz="4" w:space="0" w:color="auto"/>
              <w:left w:val="nil"/>
              <w:bottom w:val="single" w:sz="4" w:space="0" w:color="auto"/>
              <w:right w:val="single" w:sz="4" w:space="0" w:color="auto"/>
            </w:tcBorders>
          </w:tcPr>
          <w:p w14:paraId="5AB226BA"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w:t>
            </w:r>
          </w:p>
        </w:tc>
        <w:tc>
          <w:tcPr>
            <w:tcW w:w="426" w:type="pct"/>
            <w:tcBorders>
              <w:top w:val="single" w:sz="4" w:space="0" w:color="auto"/>
              <w:left w:val="nil"/>
              <w:bottom w:val="single" w:sz="4" w:space="0" w:color="auto"/>
              <w:right w:val="single" w:sz="4" w:space="0" w:color="auto"/>
            </w:tcBorders>
          </w:tcPr>
          <w:p w14:paraId="7F8496FE"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DBZ</w:t>
            </w:r>
          </w:p>
        </w:tc>
        <w:tc>
          <w:tcPr>
            <w:tcW w:w="870" w:type="pct"/>
            <w:tcBorders>
              <w:top w:val="single" w:sz="4" w:space="0" w:color="auto"/>
              <w:left w:val="nil"/>
              <w:bottom w:val="single" w:sz="4" w:space="0" w:color="auto"/>
              <w:right w:val="single" w:sz="4" w:space="0" w:color="auto"/>
            </w:tcBorders>
          </w:tcPr>
          <w:p w14:paraId="1CA17DEB"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LZM zdravila-Seznam A</w:t>
            </w:r>
          </w:p>
        </w:tc>
      </w:tr>
      <w:tr w:rsidR="003801B9" w:rsidRPr="00DC3DC8" w14:paraId="0C0B6A75"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131FD292"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Q86.210</w:t>
            </w:r>
          </w:p>
        </w:tc>
        <w:tc>
          <w:tcPr>
            <w:tcW w:w="1679" w:type="pct"/>
            <w:gridSpan w:val="3"/>
            <w:tcBorders>
              <w:top w:val="single" w:sz="4" w:space="0" w:color="auto"/>
              <w:left w:val="nil"/>
              <w:bottom w:val="single" w:sz="4" w:space="0" w:color="auto"/>
              <w:right w:val="single" w:sz="4" w:space="0" w:color="auto"/>
            </w:tcBorders>
            <w:shd w:val="clear" w:color="auto" w:fill="auto"/>
          </w:tcPr>
          <w:p w14:paraId="46DDEB1A"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zunajbolnišnična zdravstvena dejavnost</w:t>
            </w:r>
          </w:p>
        </w:tc>
        <w:tc>
          <w:tcPr>
            <w:tcW w:w="1604" w:type="pct"/>
            <w:tcBorders>
              <w:top w:val="single" w:sz="4" w:space="0" w:color="auto"/>
              <w:left w:val="nil"/>
              <w:bottom w:val="single" w:sz="4" w:space="0" w:color="auto"/>
              <w:right w:val="single" w:sz="4" w:space="0" w:color="auto"/>
            </w:tcBorders>
          </w:tcPr>
          <w:p w14:paraId="4A9129E6"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3E013425"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70" w:type="pct"/>
            <w:tcBorders>
              <w:top w:val="single" w:sz="4" w:space="0" w:color="auto"/>
              <w:left w:val="nil"/>
              <w:bottom w:val="single" w:sz="4" w:space="0" w:color="auto"/>
              <w:right w:val="single" w:sz="4" w:space="0" w:color="auto"/>
            </w:tcBorders>
          </w:tcPr>
          <w:p w14:paraId="4F3A563E" w14:textId="77777777" w:rsidR="003801B9" w:rsidRPr="00DC3DC8" w:rsidRDefault="003801B9" w:rsidP="003801B9">
            <w:pPr>
              <w:spacing w:after="0" w:line="240" w:lineRule="auto"/>
              <w:jc w:val="center"/>
              <w:rPr>
                <w:rFonts w:eastAsia="Times New Roman" w:cstheme="minorHAnsi"/>
                <w:sz w:val="18"/>
                <w:szCs w:val="18"/>
                <w:lang w:eastAsia="sl-SI"/>
              </w:rPr>
            </w:pPr>
          </w:p>
        </w:tc>
      </w:tr>
      <w:tr w:rsidR="003801B9" w:rsidRPr="00DC3DC8" w14:paraId="58B80B14"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2CFFCD7E"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nil"/>
              <w:left w:val="nil"/>
              <w:bottom w:val="single" w:sz="4" w:space="0" w:color="auto"/>
              <w:right w:val="single" w:sz="4" w:space="0" w:color="auto"/>
            </w:tcBorders>
            <w:shd w:val="clear" w:color="auto" w:fill="auto"/>
          </w:tcPr>
          <w:p w14:paraId="6C7B1D15"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302</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7A551"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 xml:space="preserve">Splošna in družinska medicina </w:t>
            </w:r>
          </w:p>
          <w:p w14:paraId="082DE37B"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v splošni zunajbolnišnični dejavnosti</w:t>
            </w:r>
          </w:p>
        </w:tc>
        <w:tc>
          <w:tcPr>
            <w:tcW w:w="1604" w:type="pct"/>
            <w:tcBorders>
              <w:top w:val="single" w:sz="4" w:space="0" w:color="auto"/>
              <w:left w:val="nil"/>
              <w:bottom w:val="single" w:sz="4" w:space="0" w:color="auto"/>
              <w:right w:val="single" w:sz="4" w:space="0" w:color="auto"/>
            </w:tcBorders>
          </w:tcPr>
          <w:p w14:paraId="637C8AFF"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3BED4402"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70" w:type="pct"/>
            <w:tcBorders>
              <w:top w:val="single" w:sz="4" w:space="0" w:color="auto"/>
              <w:left w:val="nil"/>
              <w:bottom w:val="single" w:sz="4" w:space="0" w:color="auto"/>
              <w:right w:val="single" w:sz="4" w:space="0" w:color="auto"/>
            </w:tcBorders>
          </w:tcPr>
          <w:p w14:paraId="1856E5BC" w14:textId="77777777" w:rsidR="003801B9" w:rsidRPr="00DC3DC8" w:rsidRDefault="003801B9" w:rsidP="003801B9">
            <w:pPr>
              <w:spacing w:after="0" w:line="240" w:lineRule="auto"/>
              <w:jc w:val="center"/>
              <w:rPr>
                <w:rFonts w:eastAsia="Times New Roman" w:cstheme="minorHAnsi"/>
                <w:sz w:val="18"/>
                <w:szCs w:val="18"/>
                <w:lang w:eastAsia="sl-SI"/>
              </w:rPr>
            </w:pPr>
          </w:p>
        </w:tc>
      </w:tr>
      <w:tr w:rsidR="003801B9" w:rsidRPr="00DC3DC8" w14:paraId="1E827885"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278DD76F"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078E76A6" w14:textId="77777777" w:rsidR="003801B9" w:rsidRPr="00DC3DC8" w:rsidRDefault="003801B9" w:rsidP="003801B9">
            <w:pPr>
              <w:spacing w:after="0" w:line="240" w:lineRule="auto"/>
              <w:rPr>
                <w:rFonts w:eastAsia="Times New Roman" w:cstheme="minorHAnsi"/>
                <w:sz w:val="18"/>
                <w:szCs w:val="18"/>
                <w:lang w:eastAsia="sl-SI"/>
              </w:rPr>
            </w:pPr>
          </w:p>
        </w:tc>
        <w:tc>
          <w:tcPr>
            <w:tcW w:w="234" w:type="pct"/>
            <w:tcBorders>
              <w:top w:val="nil"/>
              <w:left w:val="nil"/>
              <w:bottom w:val="single" w:sz="4" w:space="0" w:color="auto"/>
              <w:right w:val="single" w:sz="4" w:space="0" w:color="auto"/>
            </w:tcBorders>
            <w:shd w:val="clear" w:color="auto" w:fill="auto"/>
          </w:tcPr>
          <w:p w14:paraId="7F6A700E"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064</w:t>
            </w:r>
          </w:p>
        </w:tc>
        <w:tc>
          <w:tcPr>
            <w:tcW w:w="1167" w:type="pct"/>
            <w:tcBorders>
              <w:top w:val="nil"/>
              <w:left w:val="nil"/>
              <w:bottom w:val="single" w:sz="4" w:space="0" w:color="auto"/>
              <w:right w:val="single" w:sz="4" w:space="0" w:color="auto"/>
            </w:tcBorders>
            <w:shd w:val="clear" w:color="auto" w:fill="auto"/>
          </w:tcPr>
          <w:p w14:paraId="3159BA4E"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Splošne ambulante za boljšo dostopnost do IOZ</w:t>
            </w:r>
          </w:p>
        </w:tc>
        <w:tc>
          <w:tcPr>
            <w:tcW w:w="1604" w:type="pct"/>
            <w:tcBorders>
              <w:top w:val="single" w:sz="4" w:space="0" w:color="auto"/>
              <w:left w:val="nil"/>
              <w:bottom w:val="single" w:sz="4" w:space="0" w:color="auto"/>
              <w:right w:val="single" w:sz="4" w:space="0" w:color="auto"/>
            </w:tcBorders>
          </w:tcPr>
          <w:p w14:paraId="5A4D077E"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Šifrant 15.20 (razen K0024, K0044, K0049, K0054, K0055), Q0030-Q0033, Q0037-Q0039, Q0048, Q0206-Q0211, Q0243-Q0261, Q0284-Q0286, Šifrant 15.117</w:t>
            </w:r>
          </w:p>
        </w:tc>
        <w:tc>
          <w:tcPr>
            <w:tcW w:w="426" w:type="pct"/>
            <w:tcBorders>
              <w:top w:val="single" w:sz="4" w:space="0" w:color="auto"/>
              <w:left w:val="nil"/>
              <w:bottom w:val="single" w:sz="4" w:space="0" w:color="auto"/>
              <w:right w:val="single" w:sz="4" w:space="0" w:color="auto"/>
            </w:tcBorders>
          </w:tcPr>
          <w:p w14:paraId="58255FB6"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w:t>
            </w:r>
          </w:p>
        </w:tc>
        <w:tc>
          <w:tcPr>
            <w:tcW w:w="870" w:type="pct"/>
            <w:tcBorders>
              <w:top w:val="single" w:sz="4" w:space="0" w:color="auto"/>
              <w:left w:val="nil"/>
              <w:bottom w:val="single" w:sz="4" w:space="0" w:color="auto"/>
              <w:right w:val="single" w:sz="4" w:space="0" w:color="auto"/>
            </w:tcBorders>
          </w:tcPr>
          <w:p w14:paraId="2CD5BB62"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w:t>
            </w:r>
          </w:p>
        </w:tc>
      </w:tr>
      <w:tr w:rsidR="003801B9" w:rsidRPr="00DC3DC8" w14:paraId="3A617A78"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E563899"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1CC5F47D"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327</w:t>
            </w:r>
          </w:p>
        </w:tc>
        <w:tc>
          <w:tcPr>
            <w:tcW w:w="1401" w:type="pct"/>
            <w:gridSpan w:val="2"/>
            <w:tcBorders>
              <w:top w:val="nil"/>
              <w:left w:val="nil"/>
              <w:bottom w:val="single" w:sz="4" w:space="0" w:color="auto"/>
              <w:right w:val="single" w:sz="4" w:space="0" w:color="auto"/>
            </w:tcBorders>
            <w:shd w:val="clear" w:color="auto" w:fill="auto"/>
          </w:tcPr>
          <w:p w14:paraId="71412E02"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1604" w:type="pct"/>
            <w:tcBorders>
              <w:top w:val="single" w:sz="4" w:space="0" w:color="auto"/>
              <w:left w:val="nil"/>
              <w:bottom w:val="single" w:sz="4" w:space="0" w:color="auto"/>
              <w:right w:val="single" w:sz="4" w:space="0" w:color="auto"/>
            </w:tcBorders>
          </w:tcPr>
          <w:p w14:paraId="6C8EF151"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426" w:type="pct"/>
            <w:tcBorders>
              <w:top w:val="single" w:sz="4" w:space="0" w:color="auto"/>
              <w:left w:val="nil"/>
              <w:bottom w:val="single" w:sz="4" w:space="0" w:color="auto"/>
              <w:right w:val="single" w:sz="4" w:space="0" w:color="auto"/>
            </w:tcBorders>
          </w:tcPr>
          <w:p w14:paraId="42CCB486"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870" w:type="pct"/>
            <w:tcBorders>
              <w:top w:val="single" w:sz="4" w:space="0" w:color="auto"/>
              <w:left w:val="nil"/>
              <w:bottom w:val="single" w:sz="4" w:space="0" w:color="auto"/>
              <w:right w:val="single" w:sz="4" w:space="0" w:color="auto"/>
            </w:tcBorders>
          </w:tcPr>
          <w:p w14:paraId="42365B83" w14:textId="77777777" w:rsidR="003801B9" w:rsidRPr="00DC3DC8" w:rsidRDefault="003801B9" w:rsidP="003801B9">
            <w:pPr>
              <w:spacing w:after="0" w:line="240" w:lineRule="auto"/>
              <w:jc w:val="center"/>
              <w:rPr>
                <w:rFonts w:eastAsia="Times New Roman" w:cstheme="minorHAnsi"/>
                <w:b/>
                <w:bCs/>
                <w:sz w:val="18"/>
                <w:szCs w:val="18"/>
                <w:lang w:eastAsia="sl-SI"/>
              </w:rPr>
            </w:pPr>
          </w:p>
        </w:tc>
      </w:tr>
      <w:tr w:rsidR="003801B9" w:rsidRPr="00DC3DC8" w14:paraId="1F2270AB"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48A42B2E"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5D195887" w14:textId="77777777" w:rsidR="003801B9" w:rsidRPr="00DC3DC8" w:rsidRDefault="003801B9" w:rsidP="003801B9">
            <w:pPr>
              <w:spacing w:after="0" w:line="240" w:lineRule="auto"/>
              <w:rPr>
                <w:rFonts w:eastAsia="Times New Roman" w:cstheme="minorHAnsi"/>
                <w:sz w:val="18"/>
                <w:szCs w:val="18"/>
                <w:lang w:eastAsia="sl-SI"/>
              </w:rPr>
            </w:pPr>
          </w:p>
        </w:tc>
        <w:tc>
          <w:tcPr>
            <w:tcW w:w="234" w:type="pct"/>
            <w:tcBorders>
              <w:top w:val="nil"/>
              <w:left w:val="nil"/>
              <w:bottom w:val="single" w:sz="4" w:space="0" w:color="auto"/>
              <w:right w:val="single" w:sz="4" w:space="0" w:color="auto"/>
            </w:tcBorders>
            <w:shd w:val="clear" w:color="auto" w:fill="auto"/>
          </w:tcPr>
          <w:p w14:paraId="30662490"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065</w:t>
            </w:r>
          </w:p>
        </w:tc>
        <w:tc>
          <w:tcPr>
            <w:tcW w:w="1167" w:type="pct"/>
            <w:tcBorders>
              <w:top w:val="nil"/>
              <w:left w:val="nil"/>
              <w:bottom w:val="single" w:sz="4" w:space="0" w:color="auto"/>
              <w:right w:val="single" w:sz="4" w:space="0" w:color="auto"/>
            </w:tcBorders>
            <w:shd w:val="clear" w:color="auto" w:fill="auto"/>
          </w:tcPr>
          <w:p w14:paraId="599562E8"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1604" w:type="pct"/>
            <w:tcBorders>
              <w:top w:val="single" w:sz="4" w:space="0" w:color="auto"/>
              <w:left w:val="nil"/>
              <w:bottom w:val="single" w:sz="4" w:space="0" w:color="auto"/>
              <w:right w:val="single" w:sz="4" w:space="0" w:color="auto"/>
            </w:tcBorders>
          </w:tcPr>
          <w:p w14:paraId="530039C5"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Šifrant 15.20 (razen K0044), Q0030-Q0033, Q0037-Q0039, Q0048, Q0206-Q0211, Q0284-Q0286, Šifrant 15.117</w:t>
            </w:r>
          </w:p>
        </w:tc>
        <w:tc>
          <w:tcPr>
            <w:tcW w:w="426" w:type="pct"/>
            <w:tcBorders>
              <w:top w:val="single" w:sz="4" w:space="0" w:color="auto"/>
              <w:left w:val="nil"/>
              <w:bottom w:val="single" w:sz="4" w:space="0" w:color="auto"/>
              <w:right w:val="single" w:sz="4" w:space="0" w:color="auto"/>
            </w:tcBorders>
          </w:tcPr>
          <w:p w14:paraId="4AB50C17"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w:t>
            </w:r>
          </w:p>
        </w:tc>
        <w:tc>
          <w:tcPr>
            <w:tcW w:w="870" w:type="pct"/>
            <w:tcBorders>
              <w:top w:val="single" w:sz="4" w:space="0" w:color="auto"/>
              <w:left w:val="nil"/>
              <w:bottom w:val="single" w:sz="4" w:space="0" w:color="auto"/>
              <w:right w:val="single" w:sz="4" w:space="0" w:color="auto"/>
            </w:tcBorders>
          </w:tcPr>
          <w:p w14:paraId="1E9D99D0"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w:t>
            </w:r>
          </w:p>
        </w:tc>
      </w:tr>
    </w:tbl>
    <w:p w14:paraId="07491B21" w14:textId="77777777" w:rsidR="003801B9" w:rsidRPr="00DC3DC8" w:rsidRDefault="003801B9" w:rsidP="003801B9">
      <w:pPr>
        <w:spacing w:after="0" w:line="240" w:lineRule="auto"/>
        <w:rPr>
          <w:rFonts w:ascii="Calibri" w:eastAsia="Times New Roman" w:hAnsi="Calibri" w:cs="Calibri"/>
          <w:bCs/>
          <w:lang w:eastAsia="sl-SI"/>
        </w:rPr>
      </w:pPr>
    </w:p>
    <w:p w14:paraId="1AA26DA6" w14:textId="77777777" w:rsidR="003801B9" w:rsidRPr="00DC3DC8" w:rsidRDefault="003801B9" w:rsidP="003801B9">
      <w:pPr>
        <w:spacing w:after="0" w:line="240" w:lineRule="auto"/>
        <w:rPr>
          <w:rFonts w:ascii="Calibri" w:eastAsia="Times New Roman" w:hAnsi="Calibri" w:cs="Calibri"/>
          <w:bCs/>
          <w:lang w:eastAsia="sl-SI"/>
        </w:rPr>
      </w:pPr>
    </w:p>
    <w:tbl>
      <w:tblPr>
        <w:tblW w:w="5000" w:type="pct"/>
        <w:tblCellMar>
          <w:left w:w="70" w:type="dxa"/>
          <w:right w:w="70" w:type="dxa"/>
        </w:tblCellMar>
        <w:tblLook w:val="04A0" w:firstRow="1" w:lastRow="0" w:firstColumn="1" w:lastColumn="0" w:noHBand="0" w:noVBand="1"/>
      </w:tblPr>
      <w:tblGrid>
        <w:gridCol w:w="791"/>
        <w:gridCol w:w="523"/>
        <w:gridCol w:w="440"/>
        <w:gridCol w:w="2193"/>
        <w:gridCol w:w="3015"/>
        <w:gridCol w:w="801"/>
        <w:gridCol w:w="1635"/>
      </w:tblGrid>
      <w:tr w:rsidR="003801B9" w:rsidRPr="00DC3DC8" w14:paraId="5304B645" w14:textId="77777777" w:rsidTr="00C53AD8">
        <w:trPr>
          <w:trHeight w:val="255"/>
          <w:tblHeader/>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45536AB" w14:textId="77777777" w:rsidR="003801B9" w:rsidRPr="00DC3DC8" w:rsidRDefault="003801B9" w:rsidP="003801B9">
            <w:pPr>
              <w:spacing w:after="0" w:line="240" w:lineRule="auto"/>
              <w:rPr>
                <w:rFonts w:eastAsia="Times New Roman" w:cstheme="minorHAnsi"/>
                <w:sz w:val="18"/>
                <w:szCs w:val="18"/>
                <w:lang w:eastAsia="sl-SI"/>
              </w:rPr>
            </w:pPr>
          </w:p>
        </w:tc>
        <w:tc>
          <w:tcPr>
            <w:tcW w:w="1679" w:type="pct"/>
            <w:gridSpan w:val="3"/>
            <w:tcBorders>
              <w:top w:val="single" w:sz="4" w:space="0" w:color="auto"/>
              <w:left w:val="nil"/>
              <w:bottom w:val="single" w:sz="4" w:space="0" w:color="auto"/>
              <w:right w:val="single" w:sz="4" w:space="0" w:color="auto"/>
            </w:tcBorders>
            <w:shd w:val="clear" w:color="auto" w:fill="auto"/>
            <w:vAlign w:val="bottom"/>
          </w:tcPr>
          <w:p w14:paraId="341F3542" w14:textId="77777777" w:rsidR="003801B9" w:rsidRPr="00DC3DC8" w:rsidRDefault="003801B9" w:rsidP="003801B9">
            <w:pPr>
              <w:spacing w:after="0" w:line="240" w:lineRule="auto"/>
              <w:rPr>
                <w:rFonts w:eastAsia="Times New Roman" w:cstheme="minorHAnsi"/>
                <w:sz w:val="18"/>
                <w:szCs w:val="18"/>
                <w:lang w:eastAsia="sl-SI"/>
              </w:rPr>
            </w:pPr>
          </w:p>
        </w:tc>
        <w:tc>
          <w:tcPr>
            <w:tcW w:w="2900" w:type="pct"/>
            <w:gridSpan w:val="3"/>
            <w:tcBorders>
              <w:top w:val="single" w:sz="4" w:space="0" w:color="auto"/>
              <w:left w:val="nil"/>
              <w:bottom w:val="single" w:sz="4" w:space="0" w:color="auto"/>
              <w:right w:val="single" w:sz="4" w:space="0" w:color="auto"/>
            </w:tcBorders>
          </w:tcPr>
          <w:p w14:paraId="2C4AF779"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VD 7-9 Obravnava</w:t>
            </w:r>
          </w:p>
        </w:tc>
      </w:tr>
      <w:tr w:rsidR="003801B9" w:rsidRPr="00DC3DC8" w14:paraId="4CD20191" w14:textId="77777777" w:rsidTr="00C53AD8">
        <w:trPr>
          <w:trHeight w:val="290"/>
          <w:tblHeader/>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6D162AF" w14:textId="77777777" w:rsidR="003801B9" w:rsidRPr="00DC3DC8" w:rsidRDefault="003801B9" w:rsidP="003801B9">
            <w:pPr>
              <w:spacing w:after="0" w:line="240" w:lineRule="auto"/>
              <w:rPr>
                <w:rFonts w:eastAsia="Times New Roman" w:cstheme="minorHAnsi"/>
                <w:sz w:val="18"/>
                <w:szCs w:val="18"/>
                <w:lang w:eastAsia="sl-SI"/>
              </w:rPr>
            </w:pPr>
          </w:p>
        </w:tc>
        <w:tc>
          <w:tcPr>
            <w:tcW w:w="1679" w:type="pct"/>
            <w:gridSpan w:val="3"/>
            <w:tcBorders>
              <w:top w:val="single" w:sz="4" w:space="0" w:color="auto"/>
              <w:left w:val="nil"/>
              <w:bottom w:val="single" w:sz="4" w:space="0" w:color="auto"/>
              <w:right w:val="single" w:sz="4" w:space="0" w:color="auto"/>
            </w:tcBorders>
            <w:shd w:val="clear" w:color="auto" w:fill="auto"/>
          </w:tcPr>
          <w:p w14:paraId="59C3C9CF" w14:textId="77777777" w:rsidR="003801B9" w:rsidRPr="00DC3DC8" w:rsidRDefault="003801B9" w:rsidP="003801B9">
            <w:pPr>
              <w:spacing w:after="0" w:line="240" w:lineRule="auto"/>
              <w:rPr>
                <w:rFonts w:eastAsia="Times New Roman" w:cstheme="minorHAnsi"/>
                <w:sz w:val="18"/>
                <w:szCs w:val="18"/>
                <w:lang w:eastAsia="sl-SI"/>
              </w:rPr>
            </w:pPr>
          </w:p>
        </w:tc>
        <w:tc>
          <w:tcPr>
            <w:tcW w:w="1604" w:type="pct"/>
            <w:tcBorders>
              <w:top w:val="single" w:sz="4" w:space="0" w:color="auto"/>
              <w:left w:val="nil"/>
              <w:bottom w:val="single" w:sz="4" w:space="0" w:color="auto"/>
              <w:right w:val="single" w:sz="4" w:space="0" w:color="auto"/>
            </w:tcBorders>
          </w:tcPr>
          <w:p w14:paraId="4721FC51"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w:t>
            </w:r>
          </w:p>
        </w:tc>
        <w:tc>
          <w:tcPr>
            <w:tcW w:w="426" w:type="pct"/>
            <w:tcBorders>
              <w:top w:val="single" w:sz="4" w:space="0" w:color="auto"/>
              <w:left w:val="nil"/>
              <w:bottom w:val="single" w:sz="4" w:space="0" w:color="auto"/>
              <w:right w:val="single" w:sz="4" w:space="0" w:color="auto"/>
            </w:tcBorders>
          </w:tcPr>
          <w:p w14:paraId="7DD97B66"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DBZ</w:t>
            </w:r>
          </w:p>
        </w:tc>
        <w:tc>
          <w:tcPr>
            <w:tcW w:w="870" w:type="pct"/>
            <w:tcBorders>
              <w:top w:val="single" w:sz="4" w:space="0" w:color="auto"/>
              <w:left w:val="nil"/>
              <w:bottom w:val="single" w:sz="4" w:space="0" w:color="auto"/>
              <w:right w:val="single" w:sz="4" w:space="0" w:color="auto"/>
            </w:tcBorders>
          </w:tcPr>
          <w:p w14:paraId="1B5FFF4E"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LZM zdravila-Seznam A</w:t>
            </w:r>
          </w:p>
        </w:tc>
      </w:tr>
      <w:tr w:rsidR="003801B9" w:rsidRPr="00DC3DC8" w14:paraId="744227BE"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2F92F44A"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Q86.210</w:t>
            </w:r>
          </w:p>
        </w:tc>
        <w:tc>
          <w:tcPr>
            <w:tcW w:w="1679" w:type="pct"/>
            <w:gridSpan w:val="3"/>
            <w:tcBorders>
              <w:top w:val="single" w:sz="4" w:space="0" w:color="auto"/>
              <w:left w:val="nil"/>
              <w:bottom w:val="single" w:sz="4" w:space="0" w:color="auto"/>
              <w:right w:val="single" w:sz="4" w:space="0" w:color="auto"/>
            </w:tcBorders>
            <w:shd w:val="clear" w:color="auto" w:fill="auto"/>
          </w:tcPr>
          <w:p w14:paraId="33B281D7"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zunajbolnišnična zdravstvena dejavnost</w:t>
            </w:r>
          </w:p>
        </w:tc>
        <w:tc>
          <w:tcPr>
            <w:tcW w:w="1604" w:type="pct"/>
            <w:tcBorders>
              <w:top w:val="single" w:sz="4" w:space="0" w:color="auto"/>
              <w:left w:val="nil"/>
              <w:bottom w:val="single" w:sz="4" w:space="0" w:color="auto"/>
              <w:right w:val="single" w:sz="4" w:space="0" w:color="auto"/>
            </w:tcBorders>
          </w:tcPr>
          <w:p w14:paraId="622BEF78"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4A8EAAAE"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70" w:type="pct"/>
            <w:tcBorders>
              <w:top w:val="single" w:sz="4" w:space="0" w:color="auto"/>
              <w:left w:val="nil"/>
              <w:bottom w:val="single" w:sz="4" w:space="0" w:color="auto"/>
              <w:right w:val="single" w:sz="4" w:space="0" w:color="auto"/>
            </w:tcBorders>
          </w:tcPr>
          <w:p w14:paraId="5E36B81D" w14:textId="77777777" w:rsidR="003801B9" w:rsidRPr="00DC3DC8" w:rsidRDefault="003801B9" w:rsidP="003801B9">
            <w:pPr>
              <w:spacing w:after="0" w:line="240" w:lineRule="auto"/>
              <w:jc w:val="center"/>
              <w:rPr>
                <w:rFonts w:eastAsia="Times New Roman" w:cstheme="minorHAnsi"/>
                <w:sz w:val="18"/>
                <w:szCs w:val="18"/>
                <w:lang w:eastAsia="sl-SI"/>
              </w:rPr>
            </w:pPr>
          </w:p>
        </w:tc>
      </w:tr>
      <w:tr w:rsidR="003801B9" w:rsidRPr="00DC3DC8" w14:paraId="441DABDB"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28FBA3DA"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nil"/>
              <w:left w:val="nil"/>
              <w:bottom w:val="single" w:sz="4" w:space="0" w:color="auto"/>
              <w:right w:val="single" w:sz="4" w:space="0" w:color="auto"/>
            </w:tcBorders>
            <w:shd w:val="clear" w:color="auto" w:fill="auto"/>
          </w:tcPr>
          <w:p w14:paraId="58C9B78A"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302</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2FEB3"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 xml:space="preserve">Splošna in družinska medicina </w:t>
            </w:r>
          </w:p>
          <w:p w14:paraId="1B420381"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v splošni zunajbolnišnični dejavnosti</w:t>
            </w:r>
          </w:p>
        </w:tc>
        <w:tc>
          <w:tcPr>
            <w:tcW w:w="1604" w:type="pct"/>
            <w:tcBorders>
              <w:top w:val="single" w:sz="4" w:space="0" w:color="auto"/>
              <w:left w:val="nil"/>
              <w:bottom w:val="single" w:sz="4" w:space="0" w:color="auto"/>
              <w:right w:val="single" w:sz="4" w:space="0" w:color="auto"/>
            </w:tcBorders>
          </w:tcPr>
          <w:p w14:paraId="4E8D239C"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179BF6E9"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70" w:type="pct"/>
            <w:tcBorders>
              <w:top w:val="single" w:sz="4" w:space="0" w:color="auto"/>
              <w:left w:val="nil"/>
              <w:bottom w:val="single" w:sz="4" w:space="0" w:color="auto"/>
              <w:right w:val="single" w:sz="4" w:space="0" w:color="auto"/>
            </w:tcBorders>
          </w:tcPr>
          <w:p w14:paraId="555BF6F3" w14:textId="77777777" w:rsidR="003801B9" w:rsidRPr="00DC3DC8" w:rsidRDefault="003801B9" w:rsidP="003801B9">
            <w:pPr>
              <w:spacing w:after="0" w:line="240" w:lineRule="auto"/>
              <w:jc w:val="center"/>
              <w:rPr>
                <w:rFonts w:eastAsia="Times New Roman" w:cstheme="minorHAnsi"/>
                <w:sz w:val="18"/>
                <w:szCs w:val="18"/>
                <w:lang w:eastAsia="sl-SI"/>
              </w:rPr>
            </w:pPr>
          </w:p>
        </w:tc>
      </w:tr>
      <w:tr w:rsidR="003801B9" w:rsidRPr="00DC3DC8" w14:paraId="2311BB03"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4156D9C2"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3BECC237" w14:textId="77777777" w:rsidR="003801B9" w:rsidRPr="00DC3DC8" w:rsidRDefault="003801B9" w:rsidP="003801B9">
            <w:pPr>
              <w:spacing w:after="0" w:line="240" w:lineRule="auto"/>
              <w:rPr>
                <w:rFonts w:eastAsia="Times New Roman" w:cstheme="minorHAnsi"/>
                <w:sz w:val="18"/>
                <w:szCs w:val="18"/>
                <w:lang w:eastAsia="sl-SI"/>
              </w:rPr>
            </w:pPr>
          </w:p>
        </w:tc>
        <w:tc>
          <w:tcPr>
            <w:tcW w:w="234" w:type="pct"/>
            <w:tcBorders>
              <w:top w:val="nil"/>
              <w:left w:val="nil"/>
              <w:bottom w:val="single" w:sz="4" w:space="0" w:color="auto"/>
              <w:right w:val="single" w:sz="4" w:space="0" w:color="auto"/>
            </w:tcBorders>
            <w:shd w:val="clear" w:color="auto" w:fill="auto"/>
          </w:tcPr>
          <w:p w14:paraId="04E3908D"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064</w:t>
            </w:r>
          </w:p>
        </w:tc>
        <w:tc>
          <w:tcPr>
            <w:tcW w:w="1167" w:type="pct"/>
            <w:tcBorders>
              <w:top w:val="nil"/>
              <w:left w:val="nil"/>
              <w:bottom w:val="single" w:sz="4" w:space="0" w:color="auto"/>
              <w:right w:val="single" w:sz="4" w:space="0" w:color="auto"/>
            </w:tcBorders>
            <w:shd w:val="clear" w:color="auto" w:fill="auto"/>
          </w:tcPr>
          <w:p w14:paraId="292D1929"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Splošne ambulante za boljšo dostopnost do IOZ</w:t>
            </w:r>
          </w:p>
        </w:tc>
        <w:tc>
          <w:tcPr>
            <w:tcW w:w="1604" w:type="pct"/>
            <w:tcBorders>
              <w:top w:val="single" w:sz="4" w:space="0" w:color="auto"/>
              <w:left w:val="nil"/>
              <w:bottom w:val="single" w:sz="4" w:space="0" w:color="auto"/>
              <w:right w:val="single" w:sz="4" w:space="0" w:color="auto"/>
            </w:tcBorders>
          </w:tcPr>
          <w:p w14:paraId="422B0C9E"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Šifrant 15.20 (razen K0024, K0044, K0049, K0054, K0055), Q0030-Q0033, Q0037-Q0039, Q0048, Q0206-Q0211, Q0243-Q0261, Q0284-Q0286, Šifrant 15.117</w:t>
            </w:r>
          </w:p>
        </w:tc>
        <w:tc>
          <w:tcPr>
            <w:tcW w:w="426" w:type="pct"/>
            <w:tcBorders>
              <w:top w:val="single" w:sz="4" w:space="0" w:color="auto"/>
              <w:left w:val="nil"/>
              <w:bottom w:val="single" w:sz="4" w:space="0" w:color="auto"/>
              <w:right w:val="single" w:sz="4" w:space="0" w:color="auto"/>
            </w:tcBorders>
          </w:tcPr>
          <w:p w14:paraId="088FD142"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w:t>
            </w:r>
          </w:p>
        </w:tc>
        <w:tc>
          <w:tcPr>
            <w:tcW w:w="870" w:type="pct"/>
            <w:tcBorders>
              <w:top w:val="single" w:sz="4" w:space="0" w:color="auto"/>
              <w:left w:val="nil"/>
              <w:bottom w:val="single" w:sz="4" w:space="0" w:color="auto"/>
              <w:right w:val="single" w:sz="4" w:space="0" w:color="auto"/>
            </w:tcBorders>
          </w:tcPr>
          <w:p w14:paraId="105B8BE0"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w:t>
            </w:r>
          </w:p>
        </w:tc>
      </w:tr>
      <w:tr w:rsidR="003801B9" w:rsidRPr="00DC3DC8" w14:paraId="7A3CA6BA"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A402320"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099075F1"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327</w:t>
            </w:r>
          </w:p>
        </w:tc>
        <w:tc>
          <w:tcPr>
            <w:tcW w:w="1401" w:type="pct"/>
            <w:gridSpan w:val="2"/>
            <w:tcBorders>
              <w:top w:val="nil"/>
              <w:left w:val="nil"/>
              <w:bottom w:val="single" w:sz="4" w:space="0" w:color="auto"/>
              <w:right w:val="single" w:sz="4" w:space="0" w:color="auto"/>
            </w:tcBorders>
            <w:shd w:val="clear" w:color="auto" w:fill="auto"/>
          </w:tcPr>
          <w:p w14:paraId="06096703"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1604" w:type="pct"/>
            <w:tcBorders>
              <w:top w:val="single" w:sz="4" w:space="0" w:color="auto"/>
              <w:left w:val="nil"/>
              <w:bottom w:val="single" w:sz="4" w:space="0" w:color="auto"/>
              <w:right w:val="single" w:sz="4" w:space="0" w:color="auto"/>
            </w:tcBorders>
          </w:tcPr>
          <w:p w14:paraId="31C18401"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426" w:type="pct"/>
            <w:tcBorders>
              <w:top w:val="single" w:sz="4" w:space="0" w:color="auto"/>
              <w:left w:val="nil"/>
              <w:bottom w:val="single" w:sz="4" w:space="0" w:color="auto"/>
              <w:right w:val="single" w:sz="4" w:space="0" w:color="auto"/>
            </w:tcBorders>
          </w:tcPr>
          <w:p w14:paraId="67F1F0C1"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870" w:type="pct"/>
            <w:tcBorders>
              <w:top w:val="single" w:sz="4" w:space="0" w:color="auto"/>
              <w:left w:val="nil"/>
              <w:bottom w:val="single" w:sz="4" w:space="0" w:color="auto"/>
              <w:right w:val="single" w:sz="4" w:space="0" w:color="auto"/>
            </w:tcBorders>
          </w:tcPr>
          <w:p w14:paraId="47AE0683" w14:textId="77777777" w:rsidR="003801B9" w:rsidRPr="00DC3DC8" w:rsidRDefault="003801B9" w:rsidP="003801B9">
            <w:pPr>
              <w:spacing w:after="0" w:line="240" w:lineRule="auto"/>
              <w:jc w:val="center"/>
              <w:rPr>
                <w:rFonts w:eastAsia="Times New Roman" w:cstheme="minorHAnsi"/>
                <w:b/>
                <w:bCs/>
                <w:sz w:val="18"/>
                <w:szCs w:val="18"/>
                <w:lang w:eastAsia="sl-SI"/>
              </w:rPr>
            </w:pPr>
          </w:p>
        </w:tc>
      </w:tr>
      <w:tr w:rsidR="003801B9" w:rsidRPr="00DC3DC8" w14:paraId="3110234A"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3D5374B"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25B6E654" w14:textId="77777777" w:rsidR="003801B9" w:rsidRPr="00DC3DC8" w:rsidRDefault="003801B9" w:rsidP="003801B9">
            <w:pPr>
              <w:spacing w:after="0" w:line="240" w:lineRule="auto"/>
              <w:rPr>
                <w:rFonts w:eastAsia="Times New Roman" w:cstheme="minorHAnsi"/>
                <w:sz w:val="18"/>
                <w:szCs w:val="18"/>
                <w:lang w:eastAsia="sl-SI"/>
              </w:rPr>
            </w:pPr>
          </w:p>
        </w:tc>
        <w:tc>
          <w:tcPr>
            <w:tcW w:w="234" w:type="pct"/>
            <w:tcBorders>
              <w:top w:val="nil"/>
              <w:left w:val="nil"/>
              <w:bottom w:val="single" w:sz="4" w:space="0" w:color="auto"/>
              <w:right w:val="single" w:sz="4" w:space="0" w:color="auto"/>
            </w:tcBorders>
            <w:shd w:val="clear" w:color="auto" w:fill="auto"/>
          </w:tcPr>
          <w:p w14:paraId="74AEF330"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065</w:t>
            </w:r>
          </w:p>
        </w:tc>
        <w:tc>
          <w:tcPr>
            <w:tcW w:w="1167" w:type="pct"/>
            <w:tcBorders>
              <w:top w:val="nil"/>
              <w:left w:val="nil"/>
              <w:bottom w:val="single" w:sz="4" w:space="0" w:color="auto"/>
              <w:right w:val="single" w:sz="4" w:space="0" w:color="auto"/>
            </w:tcBorders>
            <w:shd w:val="clear" w:color="auto" w:fill="auto"/>
          </w:tcPr>
          <w:p w14:paraId="76B46DFF"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1604" w:type="pct"/>
            <w:tcBorders>
              <w:top w:val="single" w:sz="4" w:space="0" w:color="auto"/>
              <w:left w:val="nil"/>
              <w:bottom w:val="single" w:sz="4" w:space="0" w:color="auto"/>
              <w:right w:val="single" w:sz="4" w:space="0" w:color="auto"/>
            </w:tcBorders>
          </w:tcPr>
          <w:p w14:paraId="02ECCFB1"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K0001-K0003,K0006, K0007, K0016,K0020-K0023, K0050, K0051-K0053, K0060, K0061, K0002-01,K0003-01 (iz Šifranta 15.20), Q0030-Q0033, Q0037-Q0039, Q0048, Q0206-Q0211, Q0284-Q0286, Šifrant 15.117</w:t>
            </w:r>
          </w:p>
        </w:tc>
        <w:tc>
          <w:tcPr>
            <w:tcW w:w="426" w:type="pct"/>
            <w:tcBorders>
              <w:top w:val="single" w:sz="4" w:space="0" w:color="auto"/>
              <w:left w:val="nil"/>
              <w:bottom w:val="single" w:sz="4" w:space="0" w:color="auto"/>
              <w:right w:val="single" w:sz="4" w:space="0" w:color="auto"/>
            </w:tcBorders>
          </w:tcPr>
          <w:p w14:paraId="51E87D1C"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w:t>
            </w:r>
          </w:p>
        </w:tc>
        <w:tc>
          <w:tcPr>
            <w:tcW w:w="870" w:type="pct"/>
            <w:tcBorders>
              <w:top w:val="single" w:sz="4" w:space="0" w:color="auto"/>
              <w:left w:val="nil"/>
              <w:bottom w:val="single" w:sz="4" w:space="0" w:color="auto"/>
              <w:right w:val="single" w:sz="4" w:space="0" w:color="auto"/>
            </w:tcBorders>
          </w:tcPr>
          <w:p w14:paraId="5F1483C6"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w:t>
            </w:r>
          </w:p>
        </w:tc>
      </w:tr>
    </w:tbl>
    <w:p w14:paraId="532697FC" w14:textId="77777777" w:rsidR="003801B9" w:rsidRPr="00DC3DC8" w:rsidRDefault="003801B9" w:rsidP="003801B9">
      <w:pPr>
        <w:spacing w:after="0" w:line="240" w:lineRule="auto"/>
        <w:rPr>
          <w:rFonts w:ascii="Calibri" w:eastAsia="Times New Roman" w:hAnsi="Calibri" w:cs="Calibri"/>
          <w:bCs/>
          <w:lang w:eastAsia="sl-SI"/>
        </w:rPr>
      </w:pPr>
    </w:p>
    <w:p w14:paraId="0AA1910A" w14:textId="77777777" w:rsidR="003801B9" w:rsidRPr="00DC3DC8" w:rsidRDefault="003801B9" w:rsidP="003801B9">
      <w:pPr>
        <w:spacing w:after="0" w:line="240" w:lineRule="auto"/>
        <w:rPr>
          <w:rFonts w:ascii="Calibri" w:eastAsia="Times New Roman" w:hAnsi="Calibri" w:cs="Calibri"/>
          <w:bCs/>
          <w:lang w:eastAsia="sl-SI"/>
        </w:rPr>
      </w:pPr>
    </w:p>
    <w:tbl>
      <w:tblPr>
        <w:tblW w:w="5000" w:type="pct"/>
        <w:tblCellMar>
          <w:left w:w="70" w:type="dxa"/>
          <w:right w:w="70" w:type="dxa"/>
        </w:tblCellMar>
        <w:tblLook w:val="04A0" w:firstRow="1" w:lastRow="0" w:firstColumn="1" w:lastColumn="0" w:noHBand="0" w:noVBand="1"/>
      </w:tblPr>
      <w:tblGrid>
        <w:gridCol w:w="792"/>
        <w:gridCol w:w="523"/>
        <w:gridCol w:w="588"/>
        <w:gridCol w:w="5753"/>
        <w:gridCol w:w="1742"/>
      </w:tblGrid>
      <w:tr w:rsidR="003801B9" w:rsidRPr="00DC3DC8" w14:paraId="5031F4AA" w14:textId="77777777" w:rsidTr="003606FA">
        <w:trPr>
          <w:trHeight w:val="283"/>
          <w:tblHeader/>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345F516"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Q86.210</w:t>
            </w:r>
          </w:p>
        </w:tc>
        <w:tc>
          <w:tcPr>
            <w:tcW w:w="3652" w:type="pct"/>
            <w:gridSpan w:val="3"/>
            <w:tcBorders>
              <w:top w:val="single" w:sz="4" w:space="0" w:color="auto"/>
              <w:left w:val="nil"/>
              <w:bottom w:val="single" w:sz="4" w:space="0" w:color="auto"/>
              <w:right w:val="single" w:sz="4" w:space="0" w:color="auto"/>
            </w:tcBorders>
            <w:shd w:val="clear" w:color="auto" w:fill="auto"/>
          </w:tcPr>
          <w:p w14:paraId="5DD83FA2"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zunajbolnišnična zdravstvena dejavnost</w:t>
            </w:r>
          </w:p>
        </w:tc>
        <w:tc>
          <w:tcPr>
            <w:tcW w:w="927" w:type="pct"/>
            <w:tcBorders>
              <w:top w:val="single" w:sz="4" w:space="0" w:color="auto"/>
              <w:left w:val="single" w:sz="4" w:space="0" w:color="auto"/>
              <w:bottom w:val="single" w:sz="4" w:space="0" w:color="auto"/>
              <w:right w:val="single" w:sz="4" w:space="0" w:color="auto"/>
            </w:tcBorders>
          </w:tcPr>
          <w:p w14:paraId="4C0E0065"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VD 15-16 PGO</w:t>
            </w:r>
          </w:p>
        </w:tc>
      </w:tr>
      <w:tr w:rsidR="003801B9" w:rsidRPr="00DC3DC8" w14:paraId="4B952DBC" w14:textId="77777777" w:rsidTr="0024223A">
        <w:trPr>
          <w:trHeight w:val="283"/>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2783ECA9"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noWrap/>
          </w:tcPr>
          <w:p w14:paraId="0B1ACD24"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302</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noWrap/>
          </w:tcPr>
          <w:p w14:paraId="1E3C84F8"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in družinska medicina v splošni zunajbolnišnični dejavnosti</w:t>
            </w:r>
          </w:p>
        </w:tc>
        <w:tc>
          <w:tcPr>
            <w:tcW w:w="927" w:type="pct"/>
            <w:tcBorders>
              <w:top w:val="single" w:sz="4" w:space="0" w:color="auto"/>
              <w:left w:val="single" w:sz="4" w:space="0" w:color="auto"/>
              <w:bottom w:val="single" w:sz="4" w:space="0" w:color="auto"/>
              <w:right w:val="single" w:sz="4" w:space="0" w:color="auto"/>
            </w:tcBorders>
          </w:tcPr>
          <w:p w14:paraId="12C5DBFD" w14:textId="77777777" w:rsidR="003801B9" w:rsidRPr="00DC3DC8" w:rsidRDefault="003801B9" w:rsidP="003801B9">
            <w:pPr>
              <w:spacing w:after="0" w:line="240" w:lineRule="auto"/>
              <w:rPr>
                <w:rFonts w:eastAsia="Times New Roman" w:cstheme="minorHAnsi"/>
                <w:sz w:val="18"/>
                <w:szCs w:val="18"/>
                <w:lang w:eastAsia="sl-SI"/>
              </w:rPr>
            </w:pPr>
          </w:p>
        </w:tc>
      </w:tr>
      <w:tr w:rsidR="003801B9" w:rsidRPr="00DC3DC8" w14:paraId="5C5950B1" w14:textId="77777777" w:rsidTr="0024223A">
        <w:trPr>
          <w:trHeight w:val="7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3508614F"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tcPr>
          <w:p w14:paraId="1D89EFA3" w14:textId="77777777" w:rsidR="003801B9" w:rsidRPr="00DC3DC8" w:rsidRDefault="003801B9" w:rsidP="003801B9">
            <w:pPr>
              <w:spacing w:after="0" w:line="240" w:lineRule="auto"/>
              <w:rPr>
                <w:rFonts w:eastAsia="Times New Roman" w:cstheme="minorHAnsi"/>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14:paraId="4FBB152F"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064</w:t>
            </w:r>
          </w:p>
        </w:tc>
        <w:tc>
          <w:tcPr>
            <w:tcW w:w="3061" w:type="pct"/>
            <w:tcBorders>
              <w:top w:val="single" w:sz="4" w:space="0" w:color="auto"/>
              <w:left w:val="nil"/>
              <w:bottom w:val="single" w:sz="4" w:space="0" w:color="auto"/>
              <w:right w:val="single" w:sz="4" w:space="0" w:color="auto"/>
            </w:tcBorders>
            <w:shd w:val="clear" w:color="auto" w:fill="auto"/>
          </w:tcPr>
          <w:p w14:paraId="5728852A"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Splošne ambulante za boljšo dostopnost do IOZ</w:t>
            </w:r>
          </w:p>
        </w:tc>
        <w:tc>
          <w:tcPr>
            <w:tcW w:w="927" w:type="pct"/>
            <w:tcBorders>
              <w:top w:val="single" w:sz="4" w:space="0" w:color="auto"/>
              <w:left w:val="single" w:sz="4" w:space="0" w:color="auto"/>
              <w:bottom w:val="single" w:sz="4" w:space="0" w:color="auto"/>
              <w:right w:val="single" w:sz="4" w:space="0" w:color="auto"/>
            </w:tcBorders>
          </w:tcPr>
          <w:p w14:paraId="488974F9" w14:textId="77777777" w:rsidR="003801B9" w:rsidRPr="00DC3DC8" w:rsidRDefault="003801B9" w:rsidP="003801B9">
            <w:pPr>
              <w:spacing w:after="0" w:line="240" w:lineRule="auto"/>
              <w:jc w:val="center"/>
              <w:rPr>
                <w:rFonts w:eastAsia="Times New Roman" w:cstheme="minorHAnsi"/>
                <w:b/>
                <w:sz w:val="18"/>
                <w:szCs w:val="18"/>
                <w:lang w:eastAsia="sl-SI"/>
              </w:rPr>
            </w:pPr>
            <w:r w:rsidRPr="00DC3DC8">
              <w:rPr>
                <w:rFonts w:eastAsia="Times New Roman" w:cstheme="minorHAnsi"/>
                <w:b/>
                <w:bCs/>
                <w:sz w:val="18"/>
                <w:szCs w:val="18"/>
                <w:lang w:eastAsia="sl-SI"/>
              </w:rPr>
              <w:t>Q0262-Q0264, Q0269-Q0272</w:t>
            </w:r>
          </w:p>
        </w:tc>
      </w:tr>
      <w:tr w:rsidR="003801B9" w:rsidRPr="00DC3DC8" w14:paraId="01F99E73" w14:textId="77777777" w:rsidTr="0024223A">
        <w:trPr>
          <w:trHeight w:val="7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9798724"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vAlign w:val="bottom"/>
          </w:tcPr>
          <w:p w14:paraId="76425F0B"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327</w:t>
            </w:r>
          </w:p>
        </w:tc>
        <w:tc>
          <w:tcPr>
            <w:tcW w:w="3374" w:type="pct"/>
            <w:gridSpan w:val="2"/>
            <w:tcBorders>
              <w:top w:val="single" w:sz="4" w:space="0" w:color="auto"/>
              <w:left w:val="nil"/>
              <w:bottom w:val="single" w:sz="4" w:space="0" w:color="auto"/>
              <w:right w:val="single" w:sz="4" w:space="0" w:color="auto"/>
            </w:tcBorders>
            <w:shd w:val="clear" w:color="auto" w:fill="auto"/>
            <w:vAlign w:val="center"/>
          </w:tcPr>
          <w:p w14:paraId="6B452992"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927" w:type="pct"/>
            <w:tcBorders>
              <w:top w:val="single" w:sz="4" w:space="0" w:color="auto"/>
              <w:left w:val="single" w:sz="4" w:space="0" w:color="auto"/>
              <w:bottom w:val="single" w:sz="4" w:space="0" w:color="auto"/>
              <w:right w:val="single" w:sz="4" w:space="0" w:color="auto"/>
            </w:tcBorders>
          </w:tcPr>
          <w:p w14:paraId="5758BA8D" w14:textId="77777777" w:rsidR="003801B9" w:rsidRPr="00DC3DC8" w:rsidRDefault="003801B9" w:rsidP="003801B9">
            <w:pPr>
              <w:spacing w:after="0" w:line="240" w:lineRule="auto"/>
              <w:jc w:val="center"/>
              <w:rPr>
                <w:rFonts w:eastAsia="Times New Roman" w:cstheme="minorHAnsi"/>
                <w:b/>
                <w:bCs/>
                <w:sz w:val="18"/>
                <w:szCs w:val="18"/>
                <w:lang w:eastAsia="sl-SI"/>
              </w:rPr>
            </w:pPr>
          </w:p>
        </w:tc>
      </w:tr>
      <w:tr w:rsidR="003801B9" w:rsidRPr="00DC3DC8" w14:paraId="287120E5" w14:textId="77777777" w:rsidTr="0024223A">
        <w:trPr>
          <w:trHeight w:val="7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040527B" w14:textId="77777777" w:rsidR="003801B9" w:rsidRPr="00DC3DC8" w:rsidRDefault="003801B9" w:rsidP="003801B9">
            <w:pPr>
              <w:spacing w:after="0" w:line="240" w:lineRule="auto"/>
              <w:rPr>
                <w:rFonts w:eastAsia="Times New Roman" w:cstheme="minorHAnsi"/>
                <w:sz w:val="18"/>
                <w:szCs w:val="18"/>
                <w:lang w:eastAsia="sl-SI"/>
              </w:rPr>
            </w:pPr>
          </w:p>
        </w:tc>
        <w:tc>
          <w:tcPr>
            <w:tcW w:w="278" w:type="pct"/>
            <w:tcBorders>
              <w:top w:val="single" w:sz="4" w:space="0" w:color="auto"/>
              <w:left w:val="nil"/>
              <w:bottom w:val="single" w:sz="4" w:space="0" w:color="auto"/>
              <w:right w:val="single" w:sz="4" w:space="0" w:color="auto"/>
            </w:tcBorders>
            <w:shd w:val="clear" w:color="auto" w:fill="auto"/>
            <w:vAlign w:val="bottom"/>
          </w:tcPr>
          <w:p w14:paraId="1EA91513" w14:textId="77777777" w:rsidR="003801B9" w:rsidRPr="00DC3DC8" w:rsidRDefault="003801B9" w:rsidP="003801B9">
            <w:pPr>
              <w:spacing w:after="0" w:line="240" w:lineRule="auto"/>
              <w:rPr>
                <w:rFonts w:eastAsia="Times New Roman" w:cstheme="minorHAnsi"/>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14:paraId="579A42F5"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065</w:t>
            </w:r>
          </w:p>
        </w:tc>
        <w:tc>
          <w:tcPr>
            <w:tcW w:w="3061" w:type="pct"/>
            <w:tcBorders>
              <w:top w:val="single" w:sz="4" w:space="0" w:color="auto"/>
              <w:left w:val="nil"/>
              <w:bottom w:val="single" w:sz="4" w:space="0" w:color="auto"/>
              <w:right w:val="single" w:sz="4" w:space="0" w:color="auto"/>
            </w:tcBorders>
            <w:shd w:val="clear" w:color="auto" w:fill="auto"/>
          </w:tcPr>
          <w:p w14:paraId="54078EAA"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927" w:type="pct"/>
            <w:tcBorders>
              <w:top w:val="single" w:sz="4" w:space="0" w:color="auto"/>
              <w:left w:val="single" w:sz="4" w:space="0" w:color="auto"/>
              <w:bottom w:val="single" w:sz="4" w:space="0" w:color="auto"/>
              <w:right w:val="single" w:sz="4" w:space="0" w:color="auto"/>
            </w:tcBorders>
          </w:tcPr>
          <w:p w14:paraId="40F8EB8C"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Q0262-Q0264, Q0269-Q0272</w:t>
            </w:r>
          </w:p>
        </w:tc>
      </w:tr>
    </w:tbl>
    <w:p w14:paraId="1707AC2A" w14:textId="77777777" w:rsidR="003801B9" w:rsidRPr="00DC3DC8" w:rsidRDefault="003801B9" w:rsidP="003801B9">
      <w:pPr>
        <w:spacing w:after="0" w:line="240" w:lineRule="auto"/>
        <w:rPr>
          <w:rFonts w:ascii="Calibri" w:eastAsia="Times New Roman" w:hAnsi="Calibri" w:cs="Calibri"/>
          <w:bCs/>
          <w:lang w:eastAsia="sl-SI"/>
        </w:rPr>
      </w:pPr>
    </w:p>
    <w:p w14:paraId="1C6478DD" w14:textId="77777777" w:rsidR="003801B9" w:rsidRPr="00DC3DC8" w:rsidRDefault="003801B9" w:rsidP="003801B9">
      <w:pPr>
        <w:spacing w:after="0" w:line="240" w:lineRule="auto"/>
        <w:rPr>
          <w:rFonts w:ascii="Calibri" w:eastAsia="Times New Roman" w:hAnsi="Calibri" w:cs="Calibri"/>
          <w:bCs/>
          <w:lang w:eastAsia="sl-SI"/>
        </w:rPr>
      </w:pPr>
    </w:p>
    <w:tbl>
      <w:tblPr>
        <w:tblW w:w="5000" w:type="pct"/>
        <w:tblCellMar>
          <w:left w:w="70" w:type="dxa"/>
          <w:right w:w="70" w:type="dxa"/>
        </w:tblCellMar>
        <w:tblLook w:val="04A0" w:firstRow="1" w:lastRow="0" w:firstColumn="1" w:lastColumn="0" w:noHBand="0" w:noVBand="1"/>
      </w:tblPr>
      <w:tblGrid>
        <w:gridCol w:w="791"/>
        <w:gridCol w:w="483"/>
        <w:gridCol w:w="628"/>
        <w:gridCol w:w="2201"/>
        <w:gridCol w:w="2866"/>
        <w:gridCol w:w="801"/>
        <w:gridCol w:w="1628"/>
      </w:tblGrid>
      <w:tr w:rsidR="003801B9" w:rsidRPr="00DC3DC8" w14:paraId="6B891DF4"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57D7333" w14:textId="77777777" w:rsidR="003801B9" w:rsidRPr="00DC3DC8" w:rsidRDefault="003801B9" w:rsidP="003801B9">
            <w:pPr>
              <w:spacing w:after="0" w:line="240" w:lineRule="auto"/>
              <w:rPr>
                <w:rFonts w:eastAsia="Times New Roman" w:cstheme="minorHAnsi"/>
                <w:sz w:val="18"/>
                <w:szCs w:val="18"/>
                <w:lang w:eastAsia="sl-SI"/>
              </w:rPr>
            </w:pPr>
          </w:p>
        </w:tc>
        <w:tc>
          <w:tcPr>
            <w:tcW w:w="1762" w:type="pct"/>
            <w:gridSpan w:val="3"/>
            <w:tcBorders>
              <w:top w:val="single" w:sz="4" w:space="0" w:color="auto"/>
              <w:left w:val="nil"/>
              <w:bottom w:val="single" w:sz="4" w:space="0" w:color="auto"/>
              <w:right w:val="single" w:sz="4" w:space="0" w:color="auto"/>
            </w:tcBorders>
            <w:shd w:val="clear" w:color="auto" w:fill="auto"/>
            <w:vAlign w:val="bottom"/>
          </w:tcPr>
          <w:p w14:paraId="48B95F37" w14:textId="77777777" w:rsidR="003801B9" w:rsidRPr="00DC3DC8" w:rsidRDefault="003801B9" w:rsidP="003801B9">
            <w:pPr>
              <w:spacing w:after="0" w:line="240" w:lineRule="auto"/>
              <w:rPr>
                <w:rFonts w:eastAsia="Times New Roman" w:cstheme="minorHAnsi"/>
                <w:sz w:val="18"/>
                <w:szCs w:val="18"/>
                <w:lang w:eastAsia="sl-SI"/>
              </w:rPr>
            </w:pPr>
          </w:p>
        </w:tc>
        <w:tc>
          <w:tcPr>
            <w:tcW w:w="2817" w:type="pct"/>
            <w:gridSpan w:val="3"/>
            <w:tcBorders>
              <w:top w:val="single" w:sz="4" w:space="0" w:color="auto"/>
              <w:left w:val="nil"/>
              <w:bottom w:val="single" w:sz="4" w:space="0" w:color="auto"/>
              <w:right w:val="single" w:sz="4" w:space="0" w:color="auto"/>
            </w:tcBorders>
          </w:tcPr>
          <w:p w14:paraId="0A86AC35"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VD 15-16 Obravnava</w:t>
            </w:r>
          </w:p>
        </w:tc>
      </w:tr>
      <w:tr w:rsidR="003801B9" w:rsidRPr="00DC3DC8" w14:paraId="58973C29"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064F1C65" w14:textId="77777777" w:rsidR="003801B9" w:rsidRPr="00DC3DC8" w:rsidRDefault="003801B9" w:rsidP="003801B9">
            <w:pPr>
              <w:spacing w:after="0" w:line="240" w:lineRule="auto"/>
              <w:rPr>
                <w:rFonts w:eastAsia="Times New Roman" w:cstheme="minorHAnsi"/>
                <w:sz w:val="18"/>
                <w:szCs w:val="18"/>
                <w:lang w:eastAsia="sl-SI"/>
              </w:rPr>
            </w:pPr>
          </w:p>
        </w:tc>
        <w:tc>
          <w:tcPr>
            <w:tcW w:w="1762" w:type="pct"/>
            <w:gridSpan w:val="3"/>
            <w:tcBorders>
              <w:top w:val="single" w:sz="4" w:space="0" w:color="auto"/>
              <w:left w:val="nil"/>
              <w:bottom w:val="single" w:sz="4" w:space="0" w:color="auto"/>
              <w:right w:val="single" w:sz="4" w:space="0" w:color="auto"/>
            </w:tcBorders>
            <w:shd w:val="clear" w:color="auto" w:fill="auto"/>
          </w:tcPr>
          <w:p w14:paraId="240100D2" w14:textId="77777777" w:rsidR="003801B9" w:rsidRPr="00DC3DC8" w:rsidRDefault="003801B9" w:rsidP="003801B9">
            <w:pPr>
              <w:spacing w:after="0" w:line="240" w:lineRule="auto"/>
              <w:rPr>
                <w:rFonts w:eastAsia="Times New Roman" w:cstheme="minorHAnsi"/>
                <w:sz w:val="18"/>
                <w:szCs w:val="18"/>
                <w:lang w:eastAsia="sl-SI"/>
              </w:rPr>
            </w:pPr>
          </w:p>
        </w:tc>
        <w:tc>
          <w:tcPr>
            <w:tcW w:w="1525" w:type="pct"/>
            <w:tcBorders>
              <w:top w:val="single" w:sz="4" w:space="0" w:color="auto"/>
              <w:left w:val="nil"/>
              <w:bottom w:val="single" w:sz="4" w:space="0" w:color="auto"/>
              <w:right w:val="single" w:sz="4" w:space="0" w:color="auto"/>
            </w:tcBorders>
          </w:tcPr>
          <w:p w14:paraId="55893F9F"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w:t>
            </w:r>
          </w:p>
        </w:tc>
        <w:tc>
          <w:tcPr>
            <w:tcW w:w="426" w:type="pct"/>
            <w:tcBorders>
              <w:top w:val="single" w:sz="4" w:space="0" w:color="auto"/>
              <w:left w:val="nil"/>
              <w:bottom w:val="single" w:sz="4" w:space="0" w:color="auto"/>
              <w:right w:val="single" w:sz="4" w:space="0" w:color="auto"/>
            </w:tcBorders>
          </w:tcPr>
          <w:p w14:paraId="0D5A8D9B"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DBZ</w:t>
            </w:r>
          </w:p>
        </w:tc>
        <w:tc>
          <w:tcPr>
            <w:tcW w:w="866" w:type="pct"/>
            <w:tcBorders>
              <w:top w:val="single" w:sz="4" w:space="0" w:color="auto"/>
              <w:left w:val="nil"/>
              <w:bottom w:val="single" w:sz="4" w:space="0" w:color="auto"/>
              <w:right w:val="single" w:sz="4" w:space="0" w:color="auto"/>
            </w:tcBorders>
          </w:tcPr>
          <w:p w14:paraId="65F73ACA" w14:textId="77777777" w:rsidR="003801B9" w:rsidRPr="00DC3DC8" w:rsidRDefault="003801B9" w:rsidP="003801B9">
            <w:pPr>
              <w:spacing w:after="0" w:line="240" w:lineRule="auto"/>
              <w:jc w:val="center"/>
              <w:rPr>
                <w:rFonts w:eastAsia="Times New Roman" w:cstheme="minorHAnsi"/>
                <w:sz w:val="18"/>
                <w:szCs w:val="18"/>
                <w:lang w:eastAsia="sl-SI"/>
              </w:rPr>
            </w:pPr>
            <w:r w:rsidRPr="00DC3DC8">
              <w:rPr>
                <w:rFonts w:eastAsia="Times New Roman" w:cstheme="minorHAnsi"/>
                <w:sz w:val="18"/>
                <w:szCs w:val="18"/>
                <w:lang w:eastAsia="sl-SI"/>
              </w:rPr>
              <w:t>opr.stor. LZM zdravila-Seznam A</w:t>
            </w:r>
          </w:p>
        </w:tc>
      </w:tr>
      <w:tr w:rsidR="003801B9" w:rsidRPr="00DC3DC8" w14:paraId="52F86CDB"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3CEBD67F"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Q86.210</w:t>
            </w:r>
          </w:p>
        </w:tc>
        <w:tc>
          <w:tcPr>
            <w:tcW w:w="1762" w:type="pct"/>
            <w:gridSpan w:val="3"/>
            <w:tcBorders>
              <w:top w:val="single" w:sz="4" w:space="0" w:color="auto"/>
              <w:left w:val="nil"/>
              <w:bottom w:val="single" w:sz="4" w:space="0" w:color="auto"/>
              <w:right w:val="single" w:sz="4" w:space="0" w:color="auto"/>
            </w:tcBorders>
            <w:shd w:val="clear" w:color="auto" w:fill="auto"/>
          </w:tcPr>
          <w:p w14:paraId="4F167751" w14:textId="32439B14"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Splošna zunajbolnišnična zdravstvena dejavnost</w:t>
            </w:r>
          </w:p>
        </w:tc>
        <w:tc>
          <w:tcPr>
            <w:tcW w:w="1525" w:type="pct"/>
            <w:tcBorders>
              <w:top w:val="single" w:sz="4" w:space="0" w:color="auto"/>
              <w:left w:val="nil"/>
              <w:bottom w:val="single" w:sz="4" w:space="0" w:color="auto"/>
              <w:right w:val="single" w:sz="4" w:space="0" w:color="auto"/>
            </w:tcBorders>
          </w:tcPr>
          <w:p w14:paraId="2BEC411C"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218A8B1E"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66" w:type="pct"/>
            <w:tcBorders>
              <w:top w:val="single" w:sz="4" w:space="0" w:color="auto"/>
              <w:left w:val="nil"/>
              <w:bottom w:val="single" w:sz="4" w:space="0" w:color="auto"/>
              <w:right w:val="single" w:sz="4" w:space="0" w:color="auto"/>
            </w:tcBorders>
          </w:tcPr>
          <w:p w14:paraId="5B07BD5D" w14:textId="77777777" w:rsidR="003801B9" w:rsidRPr="00DC3DC8" w:rsidRDefault="003801B9" w:rsidP="003801B9">
            <w:pPr>
              <w:spacing w:after="0" w:line="240" w:lineRule="auto"/>
              <w:jc w:val="center"/>
              <w:rPr>
                <w:rFonts w:eastAsia="Times New Roman" w:cstheme="minorHAnsi"/>
                <w:sz w:val="18"/>
                <w:szCs w:val="18"/>
                <w:lang w:eastAsia="sl-SI"/>
              </w:rPr>
            </w:pPr>
          </w:p>
        </w:tc>
      </w:tr>
      <w:tr w:rsidR="003801B9" w:rsidRPr="00DC3DC8" w14:paraId="10F72683"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1F74DFC2" w14:textId="77777777" w:rsidR="003801B9" w:rsidRPr="00DC3DC8" w:rsidRDefault="003801B9" w:rsidP="003801B9">
            <w:pPr>
              <w:spacing w:after="0" w:line="240" w:lineRule="auto"/>
              <w:rPr>
                <w:rFonts w:eastAsia="Times New Roman" w:cstheme="minorHAnsi"/>
                <w:sz w:val="18"/>
                <w:szCs w:val="18"/>
                <w:lang w:eastAsia="sl-SI"/>
              </w:rPr>
            </w:pPr>
            <w:bookmarkStart w:id="13" w:name="_Hlk124421458"/>
          </w:p>
        </w:tc>
        <w:tc>
          <w:tcPr>
            <w:tcW w:w="257" w:type="pct"/>
            <w:tcBorders>
              <w:top w:val="nil"/>
              <w:left w:val="nil"/>
              <w:bottom w:val="single" w:sz="4" w:space="0" w:color="auto"/>
              <w:right w:val="single" w:sz="4" w:space="0" w:color="auto"/>
            </w:tcBorders>
            <w:shd w:val="clear" w:color="auto" w:fill="auto"/>
          </w:tcPr>
          <w:p w14:paraId="61B8D2EB"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302</w:t>
            </w:r>
          </w:p>
        </w:tc>
        <w:tc>
          <w:tcPr>
            <w:tcW w:w="1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0591E"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 xml:space="preserve">Splošna in družinska medicina </w:t>
            </w:r>
          </w:p>
          <w:p w14:paraId="78E77BE8"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v splošni zunajbolnišnični dejavnosti</w:t>
            </w:r>
          </w:p>
        </w:tc>
        <w:tc>
          <w:tcPr>
            <w:tcW w:w="1525" w:type="pct"/>
            <w:tcBorders>
              <w:top w:val="single" w:sz="4" w:space="0" w:color="auto"/>
              <w:left w:val="nil"/>
              <w:bottom w:val="single" w:sz="4" w:space="0" w:color="auto"/>
              <w:right w:val="single" w:sz="4" w:space="0" w:color="auto"/>
            </w:tcBorders>
          </w:tcPr>
          <w:p w14:paraId="63897355"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426" w:type="pct"/>
            <w:tcBorders>
              <w:top w:val="single" w:sz="4" w:space="0" w:color="auto"/>
              <w:left w:val="nil"/>
              <w:bottom w:val="single" w:sz="4" w:space="0" w:color="auto"/>
              <w:right w:val="single" w:sz="4" w:space="0" w:color="auto"/>
            </w:tcBorders>
          </w:tcPr>
          <w:p w14:paraId="2B1A6E0E" w14:textId="77777777" w:rsidR="003801B9" w:rsidRPr="00DC3DC8" w:rsidRDefault="003801B9" w:rsidP="003801B9">
            <w:pPr>
              <w:spacing w:after="0" w:line="240" w:lineRule="auto"/>
              <w:jc w:val="center"/>
              <w:rPr>
                <w:rFonts w:eastAsia="Times New Roman" w:cstheme="minorHAnsi"/>
                <w:sz w:val="18"/>
                <w:szCs w:val="18"/>
                <w:lang w:eastAsia="sl-SI"/>
              </w:rPr>
            </w:pPr>
          </w:p>
        </w:tc>
        <w:tc>
          <w:tcPr>
            <w:tcW w:w="866" w:type="pct"/>
            <w:tcBorders>
              <w:top w:val="single" w:sz="4" w:space="0" w:color="auto"/>
              <w:left w:val="nil"/>
              <w:bottom w:val="single" w:sz="4" w:space="0" w:color="auto"/>
              <w:right w:val="single" w:sz="4" w:space="0" w:color="auto"/>
            </w:tcBorders>
          </w:tcPr>
          <w:p w14:paraId="2FFCD153" w14:textId="77777777" w:rsidR="003801B9" w:rsidRPr="00DC3DC8" w:rsidRDefault="003801B9" w:rsidP="003801B9">
            <w:pPr>
              <w:spacing w:after="0" w:line="240" w:lineRule="auto"/>
              <w:jc w:val="center"/>
              <w:rPr>
                <w:rFonts w:eastAsia="Times New Roman" w:cstheme="minorHAnsi"/>
                <w:sz w:val="18"/>
                <w:szCs w:val="18"/>
                <w:lang w:eastAsia="sl-SI"/>
              </w:rPr>
            </w:pPr>
          </w:p>
        </w:tc>
      </w:tr>
      <w:bookmarkEnd w:id="13"/>
      <w:tr w:rsidR="003801B9" w:rsidRPr="00DC3DC8" w14:paraId="570FDB71"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748D1C65" w14:textId="77777777" w:rsidR="003801B9" w:rsidRPr="00DC3DC8" w:rsidRDefault="003801B9" w:rsidP="003801B9">
            <w:pPr>
              <w:spacing w:after="0" w:line="240" w:lineRule="auto"/>
              <w:rPr>
                <w:rFonts w:eastAsia="Times New Roman" w:cstheme="minorHAnsi"/>
                <w:sz w:val="18"/>
                <w:szCs w:val="18"/>
                <w:lang w:eastAsia="sl-SI"/>
              </w:rPr>
            </w:pPr>
          </w:p>
        </w:tc>
        <w:tc>
          <w:tcPr>
            <w:tcW w:w="257" w:type="pct"/>
            <w:tcBorders>
              <w:top w:val="single" w:sz="4" w:space="0" w:color="auto"/>
              <w:left w:val="nil"/>
              <w:bottom w:val="single" w:sz="4" w:space="0" w:color="auto"/>
              <w:right w:val="single" w:sz="4" w:space="0" w:color="auto"/>
            </w:tcBorders>
            <w:shd w:val="clear" w:color="auto" w:fill="auto"/>
          </w:tcPr>
          <w:p w14:paraId="6487405B" w14:textId="77777777" w:rsidR="003801B9" w:rsidRPr="00DC3DC8" w:rsidRDefault="003801B9" w:rsidP="003801B9">
            <w:pPr>
              <w:spacing w:after="0" w:line="240" w:lineRule="auto"/>
              <w:rPr>
                <w:rFonts w:eastAsia="Times New Roman" w:cstheme="minorHAnsi"/>
                <w:sz w:val="18"/>
                <w:szCs w:val="18"/>
                <w:lang w:eastAsia="sl-SI"/>
              </w:rPr>
            </w:pPr>
          </w:p>
        </w:tc>
        <w:tc>
          <w:tcPr>
            <w:tcW w:w="334" w:type="pct"/>
            <w:tcBorders>
              <w:top w:val="nil"/>
              <w:left w:val="nil"/>
              <w:bottom w:val="single" w:sz="4" w:space="0" w:color="auto"/>
              <w:right w:val="single" w:sz="4" w:space="0" w:color="auto"/>
            </w:tcBorders>
            <w:shd w:val="clear" w:color="auto" w:fill="auto"/>
          </w:tcPr>
          <w:p w14:paraId="33BCD207"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064</w:t>
            </w:r>
          </w:p>
        </w:tc>
        <w:tc>
          <w:tcPr>
            <w:tcW w:w="1171" w:type="pct"/>
            <w:tcBorders>
              <w:top w:val="nil"/>
              <w:left w:val="nil"/>
              <w:bottom w:val="single" w:sz="4" w:space="0" w:color="auto"/>
              <w:right w:val="single" w:sz="4" w:space="0" w:color="auto"/>
            </w:tcBorders>
            <w:shd w:val="clear" w:color="auto" w:fill="auto"/>
          </w:tcPr>
          <w:p w14:paraId="6DD230C1"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Splošne ambulante za boljšo dostopnost do IOZ</w:t>
            </w:r>
          </w:p>
        </w:tc>
        <w:tc>
          <w:tcPr>
            <w:tcW w:w="1525" w:type="pct"/>
            <w:tcBorders>
              <w:top w:val="single" w:sz="4" w:space="0" w:color="auto"/>
              <w:left w:val="nil"/>
              <w:bottom w:val="single" w:sz="4" w:space="0" w:color="auto"/>
              <w:right w:val="single" w:sz="4" w:space="0" w:color="auto"/>
            </w:tcBorders>
          </w:tcPr>
          <w:p w14:paraId="33A550A1"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Šifrant 15.20 (razen K0024, K0044, K0049, K0054, K0055), Q0030-Q0033, Q0037-Q0039, Q0048,Q0206-Q0211, Q0243-Q0261, Q0284-Q0286, Šifrant 15.117</w:t>
            </w:r>
          </w:p>
        </w:tc>
        <w:tc>
          <w:tcPr>
            <w:tcW w:w="426" w:type="pct"/>
            <w:tcBorders>
              <w:top w:val="single" w:sz="4" w:space="0" w:color="auto"/>
              <w:left w:val="nil"/>
              <w:bottom w:val="single" w:sz="4" w:space="0" w:color="auto"/>
              <w:right w:val="single" w:sz="4" w:space="0" w:color="auto"/>
            </w:tcBorders>
          </w:tcPr>
          <w:p w14:paraId="6812F558"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Q0265-Q0268</w:t>
            </w:r>
          </w:p>
        </w:tc>
        <w:tc>
          <w:tcPr>
            <w:tcW w:w="866" w:type="pct"/>
            <w:tcBorders>
              <w:top w:val="single" w:sz="4" w:space="0" w:color="auto"/>
              <w:left w:val="nil"/>
              <w:bottom w:val="single" w:sz="4" w:space="0" w:color="auto"/>
              <w:right w:val="single" w:sz="4" w:space="0" w:color="auto"/>
            </w:tcBorders>
          </w:tcPr>
          <w:p w14:paraId="3A5B2E66"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Q0235-Q0237</w:t>
            </w:r>
          </w:p>
        </w:tc>
      </w:tr>
      <w:tr w:rsidR="003801B9" w:rsidRPr="00DC3DC8" w14:paraId="79C09A93"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16625678" w14:textId="77777777" w:rsidR="003801B9" w:rsidRPr="00DC3DC8" w:rsidRDefault="003801B9" w:rsidP="003801B9">
            <w:pPr>
              <w:spacing w:after="0" w:line="240" w:lineRule="auto"/>
              <w:rPr>
                <w:rFonts w:eastAsia="Times New Roman" w:cstheme="minorHAnsi"/>
                <w:sz w:val="18"/>
                <w:szCs w:val="18"/>
                <w:lang w:eastAsia="sl-SI"/>
              </w:rPr>
            </w:pPr>
          </w:p>
        </w:tc>
        <w:tc>
          <w:tcPr>
            <w:tcW w:w="257" w:type="pct"/>
            <w:tcBorders>
              <w:top w:val="single" w:sz="4" w:space="0" w:color="auto"/>
              <w:left w:val="nil"/>
              <w:bottom w:val="single" w:sz="4" w:space="0" w:color="auto"/>
              <w:right w:val="single" w:sz="4" w:space="0" w:color="auto"/>
            </w:tcBorders>
            <w:shd w:val="clear" w:color="auto" w:fill="auto"/>
          </w:tcPr>
          <w:p w14:paraId="559BF9F5"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327</w:t>
            </w:r>
          </w:p>
        </w:tc>
        <w:tc>
          <w:tcPr>
            <w:tcW w:w="1505" w:type="pct"/>
            <w:gridSpan w:val="2"/>
            <w:tcBorders>
              <w:top w:val="single" w:sz="4" w:space="0" w:color="auto"/>
              <w:left w:val="nil"/>
              <w:bottom w:val="single" w:sz="4" w:space="0" w:color="auto"/>
              <w:right w:val="single" w:sz="4" w:space="0" w:color="auto"/>
            </w:tcBorders>
            <w:shd w:val="clear" w:color="auto" w:fill="auto"/>
          </w:tcPr>
          <w:p w14:paraId="5BD106F7"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1525" w:type="pct"/>
            <w:tcBorders>
              <w:top w:val="single" w:sz="4" w:space="0" w:color="auto"/>
              <w:left w:val="nil"/>
              <w:bottom w:val="single" w:sz="4" w:space="0" w:color="auto"/>
              <w:right w:val="single" w:sz="4" w:space="0" w:color="auto"/>
            </w:tcBorders>
          </w:tcPr>
          <w:p w14:paraId="7D051F33"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426" w:type="pct"/>
            <w:tcBorders>
              <w:top w:val="single" w:sz="4" w:space="0" w:color="auto"/>
              <w:left w:val="nil"/>
              <w:bottom w:val="single" w:sz="4" w:space="0" w:color="auto"/>
              <w:right w:val="single" w:sz="4" w:space="0" w:color="auto"/>
            </w:tcBorders>
          </w:tcPr>
          <w:p w14:paraId="488ACFD4" w14:textId="77777777" w:rsidR="003801B9" w:rsidRPr="00DC3DC8" w:rsidRDefault="003801B9" w:rsidP="003801B9">
            <w:pPr>
              <w:spacing w:after="0" w:line="240" w:lineRule="auto"/>
              <w:jc w:val="center"/>
              <w:rPr>
                <w:rFonts w:eastAsia="Times New Roman" w:cstheme="minorHAnsi"/>
                <w:b/>
                <w:bCs/>
                <w:sz w:val="18"/>
                <w:szCs w:val="18"/>
                <w:lang w:eastAsia="sl-SI"/>
              </w:rPr>
            </w:pPr>
          </w:p>
        </w:tc>
        <w:tc>
          <w:tcPr>
            <w:tcW w:w="866" w:type="pct"/>
            <w:tcBorders>
              <w:top w:val="single" w:sz="4" w:space="0" w:color="auto"/>
              <w:left w:val="nil"/>
              <w:bottom w:val="single" w:sz="4" w:space="0" w:color="auto"/>
              <w:right w:val="single" w:sz="4" w:space="0" w:color="auto"/>
            </w:tcBorders>
          </w:tcPr>
          <w:p w14:paraId="1053CBDD" w14:textId="77777777" w:rsidR="003801B9" w:rsidRPr="00DC3DC8" w:rsidRDefault="003801B9" w:rsidP="003801B9">
            <w:pPr>
              <w:spacing w:after="0" w:line="240" w:lineRule="auto"/>
              <w:jc w:val="center"/>
              <w:rPr>
                <w:rFonts w:eastAsia="Times New Roman" w:cstheme="minorHAnsi"/>
                <w:b/>
                <w:bCs/>
                <w:sz w:val="18"/>
                <w:szCs w:val="18"/>
                <w:lang w:eastAsia="sl-SI"/>
              </w:rPr>
            </w:pPr>
          </w:p>
        </w:tc>
      </w:tr>
      <w:tr w:rsidR="003801B9" w:rsidRPr="00DC3DC8" w14:paraId="2619F1A4" w14:textId="77777777" w:rsidTr="0024223A">
        <w:trPr>
          <w:trHeight w:val="290"/>
        </w:trPr>
        <w:tc>
          <w:tcPr>
            <w:tcW w:w="421" w:type="pct"/>
            <w:tcBorders>
              <w:top w:val="single" w:sz="4" w:space="0" w:color="auto"/>
              <w:left w:val="single" w:sz="8" w:space="0" w:color="auto"/>
              <w:bottom w:val="single" w:sz="4" w:space="0" w:color="auto"/>
              <w:right w:val="single" w:sz="4" w:space="0" w:color="auto"/>
            </w:tcBorders>
            <w:shd w:val="clear" w:color="auto" w:fill="auto"/>
            <w:noWrap/>
          </w:tcPr>
          <w:p w14:paraId="6CF6E991" w14:textId="77777777" w:rsidR="003801B9" w:rsidRPr="00DC3DC8" w:rsidRDefault="003801B9" w:rsidP="003801B9">
            <w:pPr>
              <w:spacing w:after="0" w:line="240" w:lineRule="auto"/>
              <w:rPr>
                <w:rFonts w:eastAsia="Times New Roman" w:cstheme="minorHAnsi"/>
                <w:sz w:val="18"/>
                <w:szCs w:val="18"/>
                <w:lang w:eastAsia="sl-SI"/>
              </w:rPr>
            </w:pPr>
          </w:p>
        </w:tc>
        <w:tc>
          <w:tcPr>
            <w:tcW w:w="257" w:type="pct"/>
            <w:tcBorders>
              <w:top w:val="single" w:sz="4" w:space="0" w:color="auto"/>
              <w:left w:val="nil"/>
              <w:bottom w:val="single" w:sz="4" w:space="0" w:color="auto"/>
              <w:right w:val="single" w:sz="4" w:space="0" w:color="auto"/>
            </w:tcBorders>
            <w:shd w:val="clear" w:color="auto" w:fill="auto"/>
          </w:tcPr>
          <w:p w14:paraId="576B5CBB" w14:textId="77777777" w:rsidR="003801B9" w:rsidRPr="00DC3DC8" w:rsidRDefault="003801B9" w:rsidP="003801B9">
            <w:pPr>
              <w:spacing w:after="0" w:line="240" w:lineRule="auto"/>
              <w:rPr>
                <w:rFonts w:eastAsia="Times New Roman" w:cstheme="minorHAnsi"/>
                <w:sz w:val="18"/>
                <w:szCs w:val="18"/>
                <w:lang w:eastAsia="sl-SI"/>
              </w:rPr>
            </w:pPr>
          </w:p>
        </w:tc>
        <w:tc>
          <w:tcPr>
            <w:tcW w:w="334" w:type="pct"/>
            <w:tcBorders>
              <w:top w:val="single" w:sz="4" w:space="0" w:color="auto"/>
              <w:left w:val="nil"/>
              <w:bottom w:val="single" w:sz="4" w:space="0" w:color="auto"/>
              <w:right w:val="single" w:sz="4" w:space="0" w:color="auto"/>
            </w:tcBorders>
            <w:shd w:val="clear" w:color="auto" w:fill="auto"/>
          </w:tcPr>
          <w:p w14:paraId="4CD151EB"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065</w:t>
            </w:r>
          </w:p>
        </w:tc>
        <w:tc>
          <w:tcPr>
            <w:tcW w:w="1171" w:type="pct"/>
            <w:tcBorders>
              <w:top w:val="single" w:sz="4" w:space="0" w:color="auto"/>
              <w:left w:val="nil"/>
              <w:bottom w:val="single" w:sz="4" w:space="0" w:color="auto"/>
              <w:right w:val="single" w:sz="4" w:space="0" w:color="auto"/>
            </w:tcBorders>
            <w:shd w:val="clear" w:color="auto" w:fill="auto"/>
          </w:tcPr>
          <w:p w14:paraId="15407200" w14:textId="77777777" w:rsidR="003801B9" w:rsidRPr="00DC3DC8" w:rsidRDefault="003801B9" w:rsidP="003801B9">
            <w:pPr>
              <w:spacing w:after="0" w:line="240" w:lineRule="auto"/>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1525" w:type="pct"/>
            <w:tcBorders>
              <w:top w:val="single" w:sz="4" w:space="0" w:color="auto"/>
              <w:left w:val="nil"/>
              <w:bottom w:val="single" w:sz="4" w:space="0" w:color="auto"/>
              <w:right w:val="single" w:sz="4" w:space="0" w:color="auto"/>
            </w:tcBorders>
          </w:tcPr>
          <w:p w14:paraId="6462245E"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E0743, Šifrant 15.20 (razen K0044), Q0030-Q0033, Q0037-Q0039, Q0048,Q0206-Q0211, Q0284-Q0286, Šifrant 15.117</w:t>
            </w:r>
          </w:p>
        </w:tc>
        <w:tc>
          <w:tcPr>
            <w:tcW w:w="426" w:type="pct"/>
            <w:tcBorders>
              <w:top w:val="single" w:sz="4" w:space="0" w:color="auto"/>
              <w:left w:val="nil"/>
              <w:bottom w:val="single" w:sz="4" w:space="0" w:color="auto"/>
              <w:right w:val="single" w:sz="4" w:space="0" w:color="auto"/>
            </w:tcBorders>
          </w:tcPr>
          <w:p w14:paraId="241A1719"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Q0265-Q0268</w:t>
            </w:r>
          </w:p>
        </w:tc>
        <w:tc>
          <w:tcPr>
            <w:tcW w:w="866" w:type="pct"/>
            <w:tcBorders>
              <w:top w:val="single" w:sz="4" w:space="0" w:color="auto"/>
              <w:left w:val="nil"/>
              <w:bottom w:val="single" w:sz="4" w:space="0" w:color="auto"/>
              <w:right w:val="single" w:sz="4" w:space="0" w:color="auto"/>
            </w:tcBorders>
          </w:tcPr>
          <w:p w14:paraId="17F4D19B" w14:textId="77777777" w:rsidR="003801B9" w:rsidRPr="00DC3DC8" w:rsidRDefault="003801B9" w:rsidP="003801B9">
            <w:pPr>
              <w:spacing w:after="0" w:line="240" w:lineRule="auto"/>
              <w:jc w:val="center"/>
              <w:rPr>
                <w:rFonts w:eastAsia="Times New Roman" w:cstheme="minorHAnsi"/>
                <w:b/>
                <w:bCs/>
                <w:sz w:val="18"/>
                <w:szCs w:val="18"/>
                <w:lang w:eastAsia="sl-SI"/>
              </w:rPr>
            </w:pPr>
            <w:r w:rsidRPr="00DC3DC8">
              <w:rPr>
                <w:rFonts w:eastAsia="Times New Roman" w:cstheme="minorHAnsi"/>
                <w:b/>
                <w:bCs/>
                <w:sz w:val="18"/>
                <w:szCs w:val="18"/>
                <w:lang w:eastAsia="sl-SI"/>
              </w:rPr>
              <w:t>Q0235-Q0237</w:t>
            </w:r>
          </w:p>
        </w:tc>
      </w:tr>
    </w:tbl>
    <w:p w14:paraId="4C57DB3F" w14:textId="77777777" w:rsidR="003801B9" w:rsidRPr="00DC3DC8" w:rsidRDefault="003801B9" w:rsidP="003801B9">
      <w:pPr>
        <w:spacing w:after="0" w:line="240" w:lineRule="auto"/>
        <w:rPr>
          <w:rFonts w:ascii="Calibri" w:eastAsia="Times New Roman" w:hAnsi="Calibri" w:cs="Calibri"/>
          <w:bCs/>
          <w:lang w:eastAsia="sl-SI"/>
        </w:rPr>
      </w:pPr>
    </w:p>
    <w:p w14:paraId="6182E257" w14:textId="77777777" w:rsidR="003801B9" w:rsidRPr="00DC3DC8" w:rsidRDefault="003801B9" w:rsidP="003801B9">
      <w:pPr>
        <w:tabs>
          <w:tab w:val="left" w:pos="5670"/>
        </w:tabs>
        <w:spacing w:after="0" w:line="240" w:lineRule="exact"/>
        <w:jc w:val="both"/>
        <w:rPr>
          <w:rFonts w:ascii="Calibri" w:eastAsia="Calibri" w:hAnsi="Calibri" w:cs="Times New Roman"/>
        </w:rPr>
      </w:pPr>
    </w:p>
    <w:p w14:paraId="7532175E" w14:textId="082D739E" w:rsidR="003801B9" w:rsidRPr="00DC3DC8" w:rsidRDefault="003801B9" w:rsidP="00C53AD8">
      <w:pPr>
        <w:numPr>
          <w:ilvl w:val="0"/>
          <w:numId w:val="8"/>
        </w:numPr>
        <w:tabs>
          <w:tab w:val="left" w:pos="5670"/>
        </w:tabs>
        <w:spacing w:after="0" w:line="240" w:lineRule="auto"/>
        <w:ind w:left="357" w:hanging="357"/>
        <w:contextualSpacing/>
        <w:jc w:val="both"/>
        <w:rPr>
          <w:rFonts w:ascii="Calibri" w:eastAsia="Times New Roman" w:hAnsi="Calibri" w:cs="Calibri"/>
          <w:bCs/>
          <w:lang w:eastAsia="sl-SI"/>
        </w:rPr>
      </w:pPr>
      <w:r w:rsidRPr="00DC3DC8">
        <w:rPr>
          <w:rFonts w:ascii="Calibri" w:eastAsia="Calibri" w:hAnsi="Calibri" w:cs="Calibri"/>
          <w:lang w:eastAsia="sl-SI"/>
        </w:rPr>
        <w:t>povezovalni šifrant</w:t>
      </w:r>
      <w:r w:rsidRPr="00DC3DC8">
        <w:rPr>
          <w:rFonts w:ascii="Calibri" w:eastAsia="Calibri" w:hAnsi="Calibri" w:cs="Calibri"/>
          <w:color w:val="000000"/>
          <w:lang w:eastAsia="sl-SI"/>
        </w:rPr>
        <w:t xml:space="preserve"> </w:t>
      </w:r>
      <w:r w:rsidRPr="00DC3DC8">
        <w:rPr>
          <w:rFonts w:ascii="Calibri" w:eastAsia="Times New Roman" w:hAnsi="Calibri" w:cs="Calibri"/>
          <w:bCs/>
          <w:lang w:eastAsia="sl-SI"/>
        </w:rPr>
        <w:t xml:space="preserve">K4 »Parametri za kontrolo podatkov po vrstah in podvrstah zdravstvene dejavnosti«: </w:t>
      </w:r>
    </w:p>
    <w:p w14:paraId="52B92567" w14:textId="77777777" w:rsidR="00C53AD8" w:rsidRPr="00DC3DC8" w:rsidRDefault="00C53AD8" w:rsidP="00C53AD8">
      <w:pPr>
        <w:tabs>
          <w:tab w:val="left" w:pos="5670"/>
        </w:tabs>
        <w:spacing w:after="0" w:line="240" w:lineRule="auto"/>
        <w:ind w:left="357"/>
        <w:contextualSpacing/>
        <w:jc w:val="both"/>
        <w:rPr>
          <w:rFonts w:ascii="Calibri" w:eastAsia="Times New Roman" w:hAnsi="Calibri" w:cs="Calibri"/>
          <w:bCs/>
          <w:lang w:eastAsia="sl-SI"/>
        </w:rPr>
      </w:pPr>
    </w:p>
    <w:tbl>
      <w:tblPr>
        <w:tblW w:w="5000" w:type="pct"/>
        <w:tblLayout w:type="fixed"/>
        <w:tblCellMar>
          <w:left w:w="70" w:type="dxa"/>
          <w:right w:w="70" w:type="dxa"/>
        </w:tblCellMar>
        <w:tblLook w:val="04A0" w:firstRow="1" w:lastRow="0" w:firstColumn="1" w:lastColumn="0" w:noHBand="0" w:noVBand="1"/>
      </w:tblPr>
      <w:tblGrid>
        <w:gridCol w:w="729"/>
        <w:gridCol w:w="426"/>
        <w:gridCol w:w="399"/>
        <w:gridCol w:w="2411"/>
        <w:gridCol w:w="1031"/>
        <w:gridCol w:w="1029"/>
        <w:gridCol w:w="884"/>
        <w:gridCol w:w="1469"/>
        <w:gridCol w:w="1025"/>
      </w:tblGrid>
      <w:tr w:rsidR="003801B9" w:rsidRPr="00DC3DC8" w14:paraId="2883EF2C" w14:textId="77777777" w:rsidTr="0024223A">
        <w:trPr>
          <w:trHeight w:val="1309"/>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76357"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Šifra zdr. dej.</w:t>
            </w:r>
          </w:p>
        </w:tc>
        <w:tc>
          <w:tcPr>
            <w:tcW w:w="1721" w:type="pct"/>
            <w:gridSpan w:val="3"/>
            <w:tcBorders>
              <w:top w:val="single" w:sz="4" w:space="0" w:color="auto"/>
              <w:left w:val="nil"/>
              <w:bottom w:val="single" w:sz="4" w:space="0" w:color="auto"/>
              <w:right w:val="single" w:sz="4" w:space="0" w:color="000000"/>
            </w:tcBorders>
            <w:shd w:val="clear" w:color="auto" w:fill="auto"/>
            <w:vAlign w:val="center"/>
            <w:hideMark/>
          </w:tcPr>
          <w:p w14:paraId="1F6AD38E"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Zdravstvena dejavnost,                                                                                                                                                      vrsta dejavnosti, podvrsta dejavnosti</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42A4FB"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Navajanje RIZDDZ številke delavca na strukturi Obravnava</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77C02C70"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Navajanje datuma konca predhodne obravnave na strukturi Obravnava</w:t>
            </w:r>
          </w:p>
        </w:tc>
        <w:tc>
          <w:tcPr>
            <w:tcW w:w="470" w:type="pct"/>
            <w:tcBorders>
              <w:top w:val="single" w:sz="4" w:space="0" w:color="auto"/>
              <w:left w:val="nil"/>
              <w:bottom w:val="single" w:sz="4" w:space="0" w:color="auto"/>
              <w:right w:val="single" w:sz="4" w:space="0" w:color="auto"/>
            </w:tcBorders>
            <w:vAlign w:val="center"/>
          </w:tcPr>
          <w:p w14:paraId="2275BD2D"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Navajanje razloga obravnave na strukturi PGO</w:t>
            </w:r>
          </w:p>
        </w:tc>
        <w:tc>
          <w:tcPr>
            <w:tcW w:w="781" w:type="pct"/>
            <w:tcBorders>
              <w:top w:val="single" w:sz="4" w:space="0" w:color="auto"/>
              <w:left w:val="nil"/>
              <w:bottom w:val="single" w:sz="4" w:space="0" w:color="auto"/>
              <w:right w:val="single" w:sz="4" w:space="0" w:color="auto"/>
            </w:tcBorders>
            <w:vAlign w:val="center"/>
          </w:tcPr>
          <w:p w14:paraId="19E71DD3"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Navajanje podatka "evidenčni dokument = 1" za vse razloge obravnav na strukturi "Obravnava"</w:t>
            </w:r>
          </w:p>
        </w:tc>
        <w:tc>
          <w:tcPr>
            <w:tcW w:w="545" w:type="pct"/>
            <w:tcBorders>
              <w:top w:val="single" w:sz="4" w:space="0" w:color="auto"/>
              <w:left w:val="nil"/>
              <w:bottom w:val="single" w:sz="4" w:space="0" w:color="auto"/>
              <w:right w:val="single" w:sz="4" w:space="0" w:color="auto"/>
            </w:tcBorders>
            <w:vAlign w:val="center"/>
          </w:tcPr>
          <w:p w14:paraId="526FDD26" w14:textId="77777777" w:rsidR="003801B9" w:rsidRPr="00DC3DC8" w:rsidRDefault="003801B9" w:rsidP="003801B9">
            <w:pPr>
              <w:tabs>
                <w:tab w:val="left" w:pos="5670"/>
              </w:tabs>
              <w:spacing w:after="0" w:line="240" w:lineRule="auto"/>
              <w:jc w:val="both"/>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Navajanje podatkov o diagnozah pri storitvi na strukturi Obravnava</w:t>
            </w:r>
          </w:p>
        </w:tc>
      </w:tr>
      <w:tr w:rsidR="003801B9" w:rsidRPr="00DC3DC8" w14:paraId="3D317CA0" w14:textId="77777777" w:rsidTr="0024223A">
        <w:trPr>
          <w:trHeight w:val="255"/>
        </w:trPr>
        <w:tc>
          <w:tcPr>
            <w:tcW w:w="388" w:type="pct"/>
            <w:tcBorders>
              <w:top w:val="nil"/>
              <w:left w:val="single" w:sz="4" w:space="0" w:color="auto"/>
              <w:bottom w:val="single" w:sz="4" w:space="0" w:color="auto"/>
              <w:right w:val="single" w:sz="4" w:space="0" w:color="auto"/>
            </w:tcBorders>
            <w:shd w:val="clear" w:color="auto" w:fill="auto"/>
            <w:vAlign w:val="bottom"/>
          </w:tcPr>
          <w:p w14:paraId="687B21D4"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r w:rsidRPr="00DC3DC8">
              <w:rPr>
                <w:rFonts w:ascii="Calibri" w:eastAsia="Times New Roman" w:hAnsi="Calibri" w:cs="Calibri"/>
                <w:sz w:val="16"/>
                <w:szCs w:val="16"/>
                <w:lang w:eastAsia="sl-SI"/>
              </w:rPr>
              <w:t>Q86.210</w:t>
            </w:r>
          </w:p>
        </w:tc>
        <w:tc>
          <w:tcPr>
            <w:tcW w:w="1721" w:type="pct"/>
            <w:gridSpan w:val="3"/>
            <w:tcBorders>
              <w:top w:val="single" w:sz="4" w:space="0" w:color="auto"/>
              <w:left w:val="nil"/>
              <w:bottom w:val="single" w:sz="4" w:space="0" w:color="auto"/>
              <w:right w:val="single" w:sz="4" w:space="0" w:color="auto"/>
            </w:tcBorders>
            <w:shd w:val="clear" w:color="auto" w:fill="auto"/>
            <w:vAlign w:val="bottom"/>
          </w:tcPr>
          <w:p w14:paraId="56CDC0B8"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r w:rsidRPr="00DC3DC8">
              <w:rPr>
                <w:rFonts w:ascii="Calibri" w:eastAsia="Times New Roman" w:hAnsi="Calibri" w:cs="Calibri"/>
                <w:sz w:val="16"/>
                <w:szCs w:val="16"/>
                <w:lang w:eastAsia="sl-SI"/>
              </w:rPr>
              <w:t>Splošna zunajbolnišnična zdravstvena dejavnost</w:t>
            </w:r>
          </w:p>
        </w:tc>
        <w:tc>
          <w:tcPr>
            <w:tcW w:w="548" w:type="pct"/>
            <w:tcBorders>
              <w:top w:val="nil"/>
              <w:left w:val="nil"/>
              <w:bottom w:val="single" w:sz="4" w:space="0" w:color="auto"/>
              <w:right w:val="single" w:sz="4" w:space="0" w:color="auto"/>
            </w:tcBorders>
            <w:shd w:val="clear" w:color="auto" w:fill="auto"/>
            <w:vAlign w:val="center"/>
            <w:hideMark/>
          </w:tcPr>
          <w:p w14:paraId="2E67329A"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 </w:t>
            </w:r>
          </w:p>
        </w:tc>
        <w:tc>
          <w:tcPr>
            <w:tcW w:w="547" w:type="pct"/>
            <w:tcBorders>
              <w:top w:val="nil"/>
              <w:left w:val="nil"/>
              <w:bottom w:val="single" w:sz="4" w:space="0" w:color="auto"/>
              <w:right w:val="single" w:sz="4" w:space="0" w:color="auto"/>
            </w:tcBorders>
            <w:shd w:val="clear" w:color="auto" w:fill="auto"/>
            <w:vAlign w:val="center"/>
            <w:hideMark/>
          </w:tcPr>
          <w:p w14:paraId="480D1D07"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 </w:t>
            </w:r>
          </w:p>
        </w:tc>
        <w:tc>
          <w:tcPr>
            <w:tcW w:w="470" w:type="pct"/>
            <w:tcBorders>
              <w:top w:val="nil"/>
              <w:left w:val="nil"/>
              <w:bottom w:val="single" w:sz="4" w:space="0" w:color="auto"/>
              <w:right w:val="single" w:sz="4" w:space="0" w:color="auto"/>
            </w:tcBorders>
            <w:vAlign w:val="center"/>
          </w:tcPr>
          <w:p w14:paraId="3A1F82A4"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 </w:t>
            </w:r>
          </w:p>
        </w:tc>
        <w:tc>
          <w:tcPr>
            <w:tcW w:w="781" w:type="pct"/>
            <w:tcBorders>
              <w:top w:val="nil"/>
              <w:left w:val="nil"/>
              <w:bottom w:val="single" w:sz="4" w:space="0" w:color="auto"/>
              <w:right w:val="single" w:sz="4" w:space="0" w:color="auto"/>
            </w:tcBorders>
            <w:vAlign w:val="center"/>
          </w:tcPr>
          <w:p w14:paraId="65E39309"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 </w:t>
            </w:r>
          </w:p>
        </w:tc>
        <w:tc>
          <w:tcPr>
            <w:tcW w:w="545" w:type="pct"/>
            <w:tcBorders>
              <w:top w:val="nil"/>
              <w:left w:val="nil"/>
              <w:bottom w:val="single" w:sz="4" w:space="0" w:color="auto"/>
              <w:right w:val="single" w:sz="4" w:space="0" w:color="auto"/>
            </w:tcBorders>
            <w:vAlign w:val="center"/>
          </w:tcPr>
          <w:p w14:paraId="668CA8B8"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r w:rsidRPr="00DC3DC8">
              <w:rPr>
                <w:rFonts w:ascii="Calibri" w:eastAsia="Times New Roman" w:hAnsi="Calibri" w:cs="Calibri"/>
                <w:b/>
                <w:bCs/>
                <w:sz w:val="16"/>
                <w:szCs w:val="16"/>
                <w:lang w:eastAsia="sl-SI"/>
              </w:rPr>
              <w:t> </w:t>
            </w:r>
          </w:p>
        </w:tc>
      </w:tr>
      <w:tr w:rsidR="003801B9" w:rsidRPr="00DC3DC8" w14:paraId="4353E085" w14:textId="77777777" w:rsidTr="0024223A">
        <w:trPr>
          <w:trHeight w:val="255"/>
        </w:trPr>
        <w:tc>
          <w:tcPr>
            <w:tcW w:w="388" w:type="pct"/>
            <w:tcBorders>
              <w:top w:val="nil"/>
              <w:left w:val="single" w:sz="4" w:space="0" w:color="auto"/>
              <w:bottom w:val="single" w:sz="4" w:space="0" w:color="auto"/>
              <w:right w:val="single" w:sz="4" w:space="0" w:color="auto"/>
            </w:tcBorders>
            <w:shd w:val="clear" w:color="auto" w:fill="auto"/>
            <w:vAlign w:val="center"/>
          </w:tcPr>
          <w:p w14:paraId="2E86E18A"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27" w:type="pct"/>
            <w:tcBorders>
              <w:top w:val="nil"/>
              <w:left w:val="nil"/>
              <w:bottom w:val="single" w:sz="4" w:space="0" w:color="auto"/>
              <w:right w:val="single" w:sz="4" w:space="0" w:color="auto"/>
            </w:tcBorders>
            <w:shd w:val="clear" w:color="auto" w:fill="auto"/>
            <w:vAlign w:val="center"/>
          </w:tcPr>
          <w:p w14:paraId="078735B1" w14:textId="77777777" w:rsidR="003801B9" w:rsidRPr="00DC3DC8" w:rsidRDefault="003801B9" w:rsidP="003801B9">
            <w:pPr>
              <w:tabs>
                <w:tab w:val="left" w:pos="5670"/>
              </w:tabs>
              <w:spacing w:after="0" w:line="240" w:lineRule="auto"/>
              <w:jc w:val="right"/>
              <w:rPr>
                <w:rFonts w:ascii="Calibri" w:eastAsia="Times New Roman" w:hAnsi="Calibri" w:cs="Calibri"/>
                <w:sz w:val="16"/>
                <w:szCs w:val="16"/>
                <w:lang w:eastAsia="sl-SI"/>
              </w:rPr>
            </w:pPr>
            <w:r w:rsidRPr="00DC3DC8">
              <w:rPr>
                <w:rFonts w:ascii="Calibri" w:eastAsia="Times New Roman" w:hAnsi="Calibri" w:cs="Calibri"/>
                <w:sz w:val="16"/>
                <w:szCs w:val="16"/>
                <w:lang w:eastAsia="sl-SI"/>
              </w:rPr>
              <w:t>302</w:t>
            </w:r>
          </w:p>
        </w:tc>
        <w:tc>
          <w:tcPr>
            <w:tcW w:w="1494" w:type="pct"/>
            <w:gridSpan w:val="2"/>
            <w:tcBorders>
              <w:top w:val="single" w:sz="4" w:space="0" w:color="auto"/>
              <w:left w:val="nil"/>
              <w:bottom w:val="single" w:sz="4" w:space="0" w:color="auto"/>
              <w:right w:val="single" w:sz="4" w:space="0" w:color="auto"/>
            </w:tcBorders>
            <w:shd w:val="clear" w:color="auto" w:fill="auto"/>
            <w:vAlign w:val="center"/>
          </w:tcPr>
          <w:p w14:paraId="69237082"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r w:rsidRPr="00DC3DC8">
              <w:rPr>
                <w:rFonts w:ascii="Calibri" w:eastAsia="Times New Roman" w:hAnsi="Calibri" w:cs="Calibri"/>
                <w:sz w:val="16"/>
                <w:szCs w:val="16"/>
                <w:lang w:eastAsia="sl-SI"/>
              </w:rPr>
              <w:t>Splošna in družinska medicina v splošni zunajbolnišnični dejavnosti</w:t>
            </w:r>
          </w:p>
        </w:tc>
        <w:tc>
          <w:tcPr>
            <w:tcW w:w="548" w:type="pct"/>
            <w:tcBorders>
              <w:top w:val="nil"/>
              <w:left w:val="nil"/>
              <w:bottom w:val="single" w:sz="4" w:space="0" w:color="auto"/>
              <w:right w:val="single" w:sz="4" w:space="0" w:color="auto"/>
            </w:tcBorders>
            <w:shd w:val="clear" w:color="auto" w:fill="auto"/>
            <w:vAlign w:val="center"/>
            <w:hideMark/>
          </w:tcPr>
          <w:p w14:paraId="0FA027B0" w14:textId="77777777" w:rsidR="003801B9" w:rsidRPr="00DC3DC8" w:rsidRDefault="003801B9" w:rsidP="003801B9">
            <w:pPr>
              <w:tabs>
                <w:tab w:val="left" w:pos="5670"/>
              </w:tabs>
              <w:spacing w:after="0" w:line="240" w:lineRule="auto"/>
              <w:jc w:val="center"/>
              <w:rPr>
                <w:rFonts w:ascii="Calibri" w:eastAsia="Times New Roman" w:hAnsi="Calibri" w:cs="Calibri"/>
                <w:sz w:val="16"/>
                <w:szCs w:val="16"/>
                <w:lang w:eastAsia="sl-SI"/>
              </w:rPr>
            </w:pPr>
            <w:r w:rsidRPr="00DC3DC8">
              <w:rPr>
                <w:rFonts w:ascii="Calibri" w:eastAsia="Times New Roman" w:hAnsi="Calibri" w:cs="Calibri"/>
                <w:sz w:val="16"/>
                <w:szCs w:val="16"/>
                <w:lang w:eastAsia="sl-SI"/>
              </w:rPr>
              <w:t> </w:t>
            </w:r>
          </w:p>
        </w:tc>
        <w:tc>
          <w:tcPr>
            <w:tcW w:w="547" w:type="pct"/>
            <w:tcBorders>
              <w:top w:val="nil"/>
              <w:left w:val="nil"/>
              <w:bottom w:val="single" w:sz="4" w:space="0" w:color="auto"/>
              <w:right w:val="nil"/>
            </w:tcBorders>
            <w:vAlign w:val="center"/>
          </w:tcPr>
          <w:p w14:paraId="0E1F331A" w14:textId="77777777" w:rsidR="003801B9" w:rsidRPr="00DC3DC8" w:rsidRDefault="003801B9" w:rsidP="003801B9">
            <w:pPr>
              <w:tabs>
                <w:tab w:val="left" w:pos="5670"/>
              </w:tabs>
              <w:spacing w:after="0" w:line="240" w:lineRule="auto"/>
              <w:jc w:val="center"/>
              <w:rPr>
                <w:rFonts w:ascii="Calibri" w:eastAsia="Times New Roman" w:hAnsi="Calibri" w:cs="Calibri"/>
                <w:sz w:val="16"/>
                <w:szCs w:val="16"/>
                <w:lang w:eastAsia="sl-SI"/>
              </w:rPr>
            </w:pPr>
          </w:p>
        </w:tc>
        <w:tc>
          <w:tcPr>
            <w:tcW w:w="470" w:type="pct"/>
            <w:tcBorders>
              <w:top w:val="nil"/>
              <w:left w:val="nil"/>
              <w:bottom w:val="single" w:sz="4" w:space="0" w:color="auto"/>
              <w:right w:val="single" w:sz="4" w:space="0" w:color="auto"/>
            </w:tcBorders>
            <w:vAlign w:val="center"/>
          </w:tcPr>
          <w:p w14:paraId="5DF82DB5" w14:textId="77777777" w:rsidR="003801B9" w:rsidRPr="00DC3DC8" w:rsidRDefault="003801B9" w:rsidP="003801B9">
            <w:pPr>
              <w:tabs>
                <w:tab w:val="left" w:pos="5670"/>
              </w:tabs>
              <w:spacing w:after="0" w:line="240" w:lineRule="auto"/>
              <w:jc w:val="center"/>
              <w:rPr>
                <w:rFonts w:ascii="Calibri" w:eastAsia="Times New Roman" w:hAnsi="Calibri" w:cs="Calibri"/>
                <w:sz w:val="16"/>
                <w:szCs w:val="16"/>
                <w:lang w:eastAsia="sl-SI"/>
              </w:rPr>
            </w:pPr>
          </w:p>
        </w:tc>
        <w:tc>
          <w:tcPr>
            <w:tcW w:w="781" w:type="pct"/>
            <w:tcBorders>
              <w:top w:val="nil"/>
              <w:left w:val="nil"/>
              <w:bottom w:val="single" w:sz="4" w:space="0" w:color="auto"/>
              <w:right w:val="single" w:sz="4" w:space="0" w:color="auto"/>
            </w:tcBorders>
            <w:vAlign w:val="center"/>
          </w:tcPr>
          <w:p w14:paraId="14FE5A9D" w14:textId="77777777" w:rsidR="003801B9" w:rsidRPr="00DC3DC8" w:rsidRDefault="003801B9" w:rsidP="003801B9">
            <w:pPr>
              <w:tabs>
                <w:tab w:val="left" w:pos="5670"/>
              </w:tabs>
              <w:spacing w:after="0" w:line="240" w:lineRule="auto"/>
              <w:jc w:val="center"/>
              <w:rPr>
                <w:rFonts w:ascii="Calibri" w:eastAsia="Times New Roman" w:hAnsi="Calibri" w:cs="Calibri"/>
                <w:sz w:val="16"/>
                <w:szCs w:val="16"/>
                <w:lang w:eastAsia="sl-SI"/>
              </w:rPr>
            </w:pPr>
          </w:p>
        </w:tc>
        <w:tc>
          <w:tcPr>
            <w:tcW w:w="545" w:type="pct"/>
            <w:tcBorders>
              <w:top w:val="nil"/>
              <w:left w:val="nil"/>
              <w:bottom w:val="single" w:sz="4" w:space="0" w:color="auto"/>
              <w:right w:val="single" w:sz="4" w:space="0" w:color="auto"/>
            </w:tcBorders>
          </w:tcPr>
          <w:p w14:paraId="7CE6F50D" w14:textId="77777777" w:rsidR="003801B9" w:rsidRPr="00DC3DC8" w:rsidRDefault="003801B9" w:rsidP="003801B9">
            <w:pPr>
              <w:tabs>
                <w:tab w:val="left" w:pos="5670"/>
              </w:tabs>
              <w:spacing w:after="0" w:line="240" w:lineRule="auto"/>
              <w:jc w:val="center"/>
              <w:rPr>
                <w:rFonts w:ascii="Calibri" w:eastAsia="Times New Roman" w:hAnsi="Calibri" w:cs="Calibri"/>
                <w:sz w:val="16"/>
                <w:szCs w:val="16"/>
                <w:lang w:eastAsia="sl-SI"/>
              </w:rPr>
            </w:pPr>
          </w:p>
        </w:tc>
      </w:tr>
      <w:tr w:rsidR="003801B9" w:rsidRPr="00DC3DC8" w14:paraId="41614187" w14:textId="77777777" w:rsidTr="0024223A">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vAlign w:val="bottom"/>
          </w:tcPr>
          <w:p w14:paraId="03D91E45"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27" w:type="pct"/>
            <w:tcBorders>
              <w:top w:val="single" w:sz="4" w:space="0" w:color="auto"/>
              <w:left w:val="nil"/>
              <w:bottom w:val="single" w:sz="4" w:space="0" w:color="auto"/>
              <w:right w:val="single" w:sz="4" w:space="0" w:color="auto"/>
            </w:tcBorders>
            <w:shd w:val="clear" w:color="auto" w:fill="auto"/>
            <w:vAlign w:val="bottom"/>
          </w:tcPr>
          <w:p w14:paraId="3B6AE946"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12" w:type="pct"/>
            <w:tcBorders>
              <w:top w:val="single" w:sz="4" w:space="0" w:color="auto"/>
              <w:left w:val="nil"/>
              <w:bottom w:val="single" w:sz="4" w:space="0" w:color="auto"/>
              <w:right w:val="single" w:sz="4" w:space="0" w:color="auto"/>
            </w:tcBorders>
            <w:shd w:val="clear" w:color="auto" w:fill="auto"/>
          </w:tcPr>
          <w:p w14:paraId="0F8402B7" w14:textId="77777777" w:rsidR="003801B9" w:rsidRPr="00DC3DC8" w:rsidRDefault="003801B9" w:rsidP="003801B9">
            <w:pPr>
              <w:tabs>
                <w:tab w:val="left" w:pos="5670"/>
              </w:tabs>
              <w:spacing w:after="0" w:line="240" w:lineRule="auto"/>
              <w:jc w:val="both"/>
              <w:rPr>
                <w:rFonts w:eastAsia="Times New Roman" w:cstheme="minorHAnsi"/>
                <w:b/>
                <w:bCs/>
                <w:sz w:val="16"/>
                <w:szCs w:val="16"/>
                <w:lang w:eastAsia="sl-SI"/>
              </w:rPr>
            </w:pPr>
            <w:r w:rsidRPr="00DC3DC8">
              <w:rPr>
                <w:rFonts w:eastAsia="Times New Roman" w:cstheme="minorHAnsi"/>
                <w:sz w:val="16"/>
                <w:szCs w:val="16"/>
                <w:lang w:eastAsia="sl-SI"/>
              </w:rPr>
              <w:t>064</w:t>
            </w:r>
          </w:p>
        </w:tc>
        <w:tc>
          <w:tcPr>
            <w:tcW w:w="1282" w:type="pct"/>
            <w:tcBorders>
              <w:top w:val="single" w:sz="4" w:space="0" w:color="auto"/>
              <w:left w:val="nil"/>
              <w:bottom w:val="single" w:sz="4" w:space="0" w:color="auto"/>
              <w:right w:val="single" w:sz="4" w:space="0" w:color="auto"/>
            </w:tcBorders>
            <w:shd w:val="clear" w:color="auto" w:fill="auto"/>
          </w:tcPr>
          <w:p w14:paraId="5668E99D" w14:textId="77777777" w:rsidR="003801B9" w:rsidRPr="00DC3DC8" w:rsidRDefault="003801B9" w:rsidP="003801B9">
            <w:pPr>
              <w:tabs>
                <w:tab w:val="left" w:pos="5670"/>
              </w:tabs>
              <w:spacing w:after="0" w:line="240" w:lineRule="auto"/>
              <w:jc w:val="both"/>
              <w:rPr>
                <w:rFonts w:eastAsia="Times New Roman" w:cstheme="minorHAnsi"/>
                <w:b/>
                <w:bCs/>
                <w:sz w:val="16"/>
                <w:szCs w:val="16"/>
                <w:lang w:eastAsia="sl-SI"/>
              </w:rPr>
            </w:pPr>
            <w:r w:rsidRPr="00DC3DC8">
              <w:rPr>
                <w:rFonts w:eastAsia="Times New Roman" w:cstheme="minorHAnsi"/>
                <w:sz w:val="16"/>
                <w:szCs w:val="16"/>
                <w:lang w:eastAsia="sl-SI"/>
              </w:rPr>
              <w:t>Splošne ambulante za boljšo dostopnost do IOZ</w:t>
            </w:r>
          </w:p>
        </w:tc>
        <w:tc>
          <w:tcPr>
            <w:tcW w:w="548" w:type="pct"/>
            <w:tcBorders>
              <w:top w:val="single" w:sz="4" w:space="0" w:color="auto"/>
              <w:left w:val="nil"/>
              <w:bottom w:val="single" w:sz="4" w:space="0" w:color="auto"/>
              <w:right w:val="single" w:sz="4" w:space="0" w:color="auto"/>
            </w:tcBorders>
            <w:vAlign w:val="center"/>
          </w:tcPr>
          <w:p w14:paraId="11D722A6"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O</w:t>
            </w:r>
          </w:p>
        </w:tc>
        <w:tc>
          <w:tcPr>
            <w:tcW w:w="547" w:type="pct"/>
            <w:tcBorders>
              <w:top w:val="single" w:sz="4" w:space="0" w:color="auto"/>
              <w:left w:val="single" w:sz="4" w:space="0" w:color="auto"/>
              <w:bottom w:val="single" w:sz="4" w:space="0" w:color="auto"/>
              <w:right w:val="single" w:sz="4" w:space="0" w:color="auto"/>
            </w:tcBorders>
            <w:vAlign w:val="center"/>
          </w:tcPr>
          <w:p w14:paraId="05590264"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470" w:type="pct"/>
            <w:tcBorders>
              <w:top w:val="single" w:sz="4" w:space="0" w:color="auto"/>
              <w:left w:val="single" w:sz="4" w:space="0" w:color="auto"/>
              <w:bottom w:val="single" w:sz="4" w:space="0" w:color="auto"/>
              <w:right w:val="single" w:sz="4" w:space="0" w:color="auto"/>
            </w:tcBorders>
            <w:vAlign w:val="center"/>
          </w:tcPr>
          <w:p w14:paraId="42BD5FC3"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781" w:type="pct"/>
            <w:tcBorders>
              <w:top w:val="single" w:sz="4" w:space="0" w:color="auto"/>
              <w:left w:val="single" w:sz="4" w:space="0" w:color="auto"/>
              <w:bottom w:val="single" w:sz="4" w:space="0" w:color="auto"/>
              <w:right w:val="single" w:sz="4" w:space="0" w:color="auto"/>
            </w:tcBorders>
            <w:vAlign w:val="center"/>
          </w:tcPr>
          <w:p w14:paraId="760FA6D6"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1804844" w14:textId="77777777" w:rsidR="003801B9" w:rsidRPr="00DC3DC8" w:rsidRDefault="003801B9" w:rsidP="003801B9">
            <w:pPr>
              <w:tabs>
                <w:tab w:val="left" w:pos="5670"/>
              </w:tabs>
              <w:spacing w:after="0" w:line="240" w:lineRule="auto"/>
              <w:jc w:val="center"/>
              <w:rPr>
                <w:rFonts w:eastAsia="Times New Roman" w:cstheme="minorHAnsi"/>
                <w:b/>
                <w:bCs/>
                <w:sz w:val="16"/>
                <w:szCs w:val="16"/>
                <w:lang w:eastAsia="sl-SI"/>
              </w:rPr>
            </w:pPr>
            <w:r w:rsidRPr="00DC3DC8">
              <w:rPr>
                <w:rFonts w:eastAsia="Calibri" w:cstheme="minorHAnsi"/>
                <w:b/>
                <w:bCs/>
                <w:strike/>
                <w:sz w:val="16"/>
                <w:szCs w:val="16"/>
              </w:rPr>
              <w:t xml:space="preserve">N </w:t>
            </w:r>
            <w:r w:rsidRPr="00DC3DC8">
              <w:rPr>
                <w:rFonts w:eastAsia="Calibri" w:cstheme="minorHAnsi"/>
                <w:b/>
                <w:bCs/>
                <w:sz w:val="16"/>
                <w:szCs w:val="16"/>
              </w:rPr>
              <w:t xml:space="preserve"> P</w:t>
            </w:r>
          </w:p>
        </w:tc>
      </w:tr>
      <w:tr w:rsidR="003801B9" w:rsidRPr="00DC3DC8" w14:paraId="2E34D4DE" w14:textId="77777777" w:rsidTr="0024223A">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vAlign w:val="bottom"/>
          </w:tcPr>
          <w:p w14:paraId="4B1BB64D"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012D9526" w14:textId="77777777" w:rsidR="003801B9" w:rsidRPr="00DC3DC8" w:rsidRDefault="003801B9" w:rsidP="003801B9">
            <w:pPr>
              <w:tabs>
                <w:tab w:val="left" w:pos="5670"/>
              </w:tabs>
              <w:spacing w:after="0" w:line="240" w:lineRule="auto"/>
              <w:jc w:val="both"/>
              <w:rPr>
                <w:rFonts w:eastAsia="Times New Roman" w:cstheme="minorHAnsi"/>
                <w:sz w:val="16"/>
                <w:szCs w:val="16"/>
                <w:lang w:eastAsia="sl-SI"/>
              </w:rPr>
            </w:pPr>
            <w:r w:rsidRPr="00DC3DC8">
              <w:rPr>
                <w:rFonts w:eastAsia="Times New Roman" w:cstheme="minorHAnsi"/>
                <w:sz w:val="16"/>
                <w:szCs w:val="16"/>
                <w:lang w:eastAsia="sl-SI"/>
              </w:rPr>
              <w:t>327</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14:paraId="4CBF78DE" w14:textId="77777777" w:rsidR="003801B9" w:rsidRPr="00DC3DC8" w:rsidRDefault="003801B9" w:rsidP="003801B9">
            <w:pPr>
              <w:tabs>
                <w:tab w:val="left" w:pos="5670"/>
              </w:tabs>
              <w:spacing w:after="0" w:line="240" w:lineRule="auto"/>
              <w:jc w:val="both"/>
              <w:rPr>
                <w:rFonts w:eastAsia="Times New Roman" w:cstheme="minorHAnsi"/>
                <w:b/>
                <w:bCs/>
                <w:sz w:val="16"/>
                <w:szCs w:val="16"/>
                <w:lang w:eastAsia="sl-SI"/>
              </w:rPr>
            </w:pPr>
            <w:r w:rsidRPr="00DC3DC8">
              <w:rPr>
                <w:rFonts w:eastAsia="Times New Roman" w:cstheme="minorHAnsi"/>
                <w:sz w:val="16"/>
                <w:szCs w:val="16"/>
                <w:lang w:eastAsia="sl-SI"/>
              </w:rPr>
              <w:t>Pediatrija v splošni zunajbolnišnični dejavnosti</w:t>
            </w:r>
          </w:p>
        </w:tc>
        <w:tc>
          <w:tcPr>
            <w:tcW w:w="548" w:type="pct"/>
            <w:tcBorders>
              <w:top w:val="single" w:sz="4" w:space="0" w:color="auto"/>
              <w:left w:val="single" w:sz="4" w:space="0" w:color="auto"/>
              <w:bottom w:val="single" w:sz="4" w:space="0" w:color="auto"/>
              <w:right w:val="single" w:sz="4" w:space="0" w:color="auto"/>
            </w:tcBorders>
            <w:vAlign w:val="center"/>
          </w:tcPr>
          <w:p w14:paraId="688CC0FA"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p>
        </w:tc>
        <w:tc>
          <w:tcPr>
            <w:tcW w:w="547" w:type="pct"/>
            <w:tcBorders>
              <w:top w:val="single" w:sz="4" w:space="0" w:color="auto"/>
              <w:left w:val="single" w:sz="4" w:space="0" w:color="auto"/>
              <w:bottom w:val="single" w:sz="4" w:space="0" w:color="auto"/>
              <w:right w:val="single" w:sz="4" w:space="0" w:color="auto"/>
            </w:tcBorders>
            <w:vAlign w:val="center"/>
          </w:tcPr>
          <w:p w14:paraId="7AD42470"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p>
        </w:tc>
        <w:tc>
          <w:tcPr>
            <w:tcW w:w="470" w:type="pct"/>
            <w:tcBorders>
              <w:top w:val="single" w:sz="4" w:space="0" w:color="auto"/>
              <w:left w:val="single" w:sz="4" w:space="0" w:color="auto"/>
              <w:bottom w:val="single" w:sz="4" w:space="0" w:color="auto"/>
              <w:right w:val="single" w:sz="4" w:space="0" w:color="auto"/>
            </w:tcBorders>
            <w:vAlign w:val="center"/>
          </w:tcPr>
          <w:p w14:paraId="3786D2ED"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A5699DA"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7590C2B"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p>
        </w:tc>
      </w:tr>
      <w:tr w:rsidR="003801B9" w:rsidRPr="00DC3DC8" w14:paraId="0C96A202" w14:textId="77777777" w:rsidTr="0024223A">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vAlign w:val="bottom"/>
          </w:tcPr>
          <w:p w14:paraId="3BD71D3E"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4689B022" w14:textId="77777777" w:rsidR="003801B9" w:rsidRPr="00DC3DC8" w:rsidRDefault="003801B9" w:rsidP="003801B9">
            <w:pPr>
              <w:tabs>
                <w:tab w:val="left" w:pos="5670"/>
              </w:tabs>
              <w:spacing w:after="0" w:line="240" w:lineRule="auto"/>
              <w:jc w:val="both"/>
              <w:rPr>
                <w:rFonts w:eastAsia="Times New Roman" w:cstheme="minorHAnsi"/>
                <w:sz w:val="16"/>
                <w:szCs w:val="16"/>
                <w:lang w:eastAsia="sl-SI"/>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2B36F5AC" w14:textId="77777777" w:rsidR="003801B9" w:rsidRPr="00DC3DC8" w:rsidRDefault="003801B9" w:rsidP="003801B9">
            <w:pPr>
              <w:tabs>
                <w:tab w:val="left" w:pos="5670"/>
              </w:tabs>
              <w:spacing w:after="0" w:line="240" w:lineRule="auto"/>
              <w:jc w:val="both"/>
              <w:rPr>
                <w:rFonts w:eastAsia="Times New Roman" w:cstheme="minorHAnsi"/>
                <w:b/>
                <w:bCs/>
                <w:sz w:val="16"/>
                <w:szCs w:val="16"/>
                <w:lang w:eastAsia="sl-SI"/>
              </w:rPr>
            </w:pPr>
            <w:r w:rsidRPr="00DC3DC8">
              <w:rPr>
                <w:rFonts w:eastAsia="Times New Roman" w:cstheme="minorHAnsi"/>
                <w:sz w:val="16"/>
                <w:szCs w:val="16"/>
                <w:lang w:eastAsia="sl-SI"/>
              </w:rPr>
              <w:t>065</w:t>
            </w:r>
          </w:p>
        </w:tc>
        <w:tc>
          <w:tcPr>
            <w:tcW w:w="1282" w:type="pct"/>
            <w:tcBorders>
              <w:top w:val="single" w:sz="4" w:space="0" w:color="auto"/>
              <w:left w:val="single" w:sz="4" w:space="0" w:color="auto"/>
              <w:bottom w:val="single" w:sz="4" w:space="0" w:color="auto"/>
              <w:right w:val="single" w:sz="4" w:space="0" w:color="auto"/>
            </w:tcBorders>
            <w:shd w:val="clear" w:color="auto" w:fill="auto"/>
          </w:tcPr>
          <w:p w14:paraId="767BA1D8" w14:textId="77777777" w:rsidR="003801B9" w:rsidRPr="00DC3DC8" w:rsidRDefault="003801B9" w:rsidP="003801B9">
            <w:pPr>
              <w:tabs>
                <w:tab w:val="left" w:pos="5670"/>
              </w:tabs>
              <w:spacing w:after="0" w:line="240" w:lineRule="auto"/>
              <w:jc w:val="both"/>
              <w:rPr>
                <w:rFonts w:eastAsia="Times New Roman" w:cstheme="minorHAnsi"/>
                <w:b/>
                <w:bCs/>
                <w:sz w:val="16"/>
                <w:szCs w:val="16"/>
                <w:lang w:eastAsia="sl-SI"/>
              </w:rPr>
            </w:pPr>
            <w:r w:rsidRPr="00DC3DC8">
              <w:rPr>
                <w:rFonts w:eastAsia="Times New Roman" w:cstheme="minorHAnsi"/>
                <w:sz w:val="16"/>
                <w:szCs w:val="16"/>
                <w:lang w:eastAsia="sl-SI"/>
              </w:rPr>
              <w:t>Otroški in šolski dispanzer za boljšo dostopnost do IOZ</w:t>
            </w:r>
          </w:p>
        </w:tc>
        <w:tc>
          <w:tcPr>
            <w:tcW w:w="548" w:type="pct"/>
            <w:tcBorders>
              <w:top w:val="single" w:sz="4" w:space="0" w:color="auto"/>
              <w:left w:val="single" w:sz="4" w:space="0" w:color="auto"/>
              <w:bottom w:val="single" w:sz="4" w:space="0" w:color="auto"/>
              <w:right w:val="single" w:sz="4" w:space="0" w:color="auto"/>
            </w:tcBorders>
            <w:vAlign w:val="center"/>
          </w:tcPr>
          <w:p w14:paraId="7FFCDDEA"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O</w:t>
            </w:r>
          </w:p>
        </w:tc>
        <w:tc>
          <w:tcPr>
            <w:tcW w:w="547" w:type="pct"/>
            <w:tcBorders>
              <w:top w:val="single" w:sz="4" w:space="0" w:color="auto"/>
              <w:left w:val="single" w:sz="4" w:space="0" w:color="auto"/>
              <w:bottom w:val="single" w:sz="4" w:space="0" w:color="auto"/>
              <w:right w:val="single" w:sz="4" w:space="0" w:color="auto"/>
            </w:tcBorders>
            <w:vAlign w:val="center"/>
          </w:tcPr>
          <w:p w14:paraId="22DA635A"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470" w:type="pct"/>
            <w:tcBorders>
              <w:top w:val="single" w:sz="4" w:space="0" w:color="auto"/>
              <w:left w:val="single" w:sz="4" w:space="0" w:color="auto"/>
              <w:bottom w:val="single" w:sz="4" w:space="0" w:color="auto"/>
              <w:right w:val="single" w:sz="4" w:space="0" w:color="auto"/>
            </w:tcBorders>
            <w:vAlign w:val="center"/>
          </w:tcPr>
          <w:p w14:paraId="2F224B96"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781" w:type="pct"/>
            <w:tcBorders>
              <w:top w:val="single" w:sz="4" w:space="0" w:color="auto"/>
              <w:left w:val="single" w:sz="4" w:space="0" w:color="auto"/>
              <w:bottom w:val="single" w:sz="4" w:space="0" w:color="auto"/>
              <w:right w:val="single" w:sz="4" w:space="0" w:color="auto"/>
            </w:tcBorders>
            <w:vAlign w:val="center"/>
          </w:tcPr>
          <w:p w14:paraId="51BA95CE"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D</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E11D148" w14:textId="77777777" w:rsidR="003801B9" w:rsidRPr="00DC3DC8" w:rsidRDefault="003801B9" w:rsidP="003801B9">
            <w:pPr>
              <w:tabs>
                <w:tab w:val="left" w:pos="5670"/>
              </w:tabs>
              <w:spacing w:after="0" w:line="240" w:lineRule="auto"/>
              <w:jc w:val="center"/>
              <w:rPr>
                <w:rFonts w:eastAsia="Calibri" w:cstheme="minorHAnsi"/>
                <w:b/>
                <w:bCs/>
                <w:strike/>
                <w:sz w:val="16"/>
                <w:szCs w:val="16"/>
              </w:rPr>
            </w:pPr>
            <w:r w:rsidRPr="00DC3DC8">
              <w:rPr>
                <w:rFonts w:eastAsia="Calibri" w:cstheme="minorHAnsi"/>
                <w:b/>
                <w:bCs/>
                <w:strike/>
                <w:sz w:val="16"/>
                <w:szCs w:val="16"/>
              </w:rPr>
              <w:t xml:space="preserve">N </w:t>
            </w:r>
            <w:r w:rsidRPr="00DC3DC8">
              <w:rPr>
                <w:rFonts w:eastAsia="Calibri" w:cstheme="minorHAnsi"/>
                <w:b/>
                <w:bCs/>
                <w:sz w:val="16"/>
                <w:szCs w:val="16"/>
              </w:rPr>
              <w:t xml:space="preserve"> P</w:t>
            </w:r>
          </w:p>
        </w:tc>
      </w:tr>
    </w:tbl>
    <w:p w14:paraId="09D1DB1B" w14:textId="731D01B8" w:rsidR="003801B9" w:rsidRPr="00DC3DC8" w:rsidRDefault="003801B9" w:rsidP="003801B9">
      <w:pPr>
        <w:tabs>
          <w:tab w:val="left" w:pos="5670"/>
        </w:tabs>
        <w:spacing w:after="0" w:line="240" w:lineRule="auto"/>
        <w:jc w:val="both"/>
        <w:rPr>
          <w:rFonts w:ascii="Calibri" w:eastAsia="Times New Roman" w:hAnsi="Calibri" w:cs="Calibri"/>
          <w:lang w:eastAsia="sl-SI"/>
        </w:rPr>
      </w:pPr>
    </w:p>
    <w:p w14:paraId="52CF4D02" w14:textId="06608DDF" w:rsidR="003801B9" w:rsidRPr="00DC3DC8" w:rsidRDefault="003801B9" w:rsidP="00C53AD8">
      <w:pPr>
        <w:numPr>
          <w:ilvl w:val="0"/>
          <w:numId w:val="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Calibri" w:hAnsi="Calibri" w:cs="Calibri"/>
          <w:lang w:eastAsia="sl-SI"/>
        </w:rPr>
        <w:t>povezovalni šifrant</w:t>
      </w:r>
      <w:r w:rsidRPr="00DC3DC8">
        <w:rPr>
          <w:rFonts w:ascii="Calibri" w:eastAsia="Calibri" w:hAnsi="Calibri" w:cs="Calibri"/>
          <w:color w:val="000000"/>
          <w:lang w:eastAsia="sl-SI"/>
        </w:rPr>
        <w:t xml:space="preserve"> </w:t>
      </w:r>
      <w:r w:rsidRPr="00DC3DC8">
        <w:rPr>
          <w:rFonts w:ascii="Calibri" w:eastAsia="Times New Roman" w:hAnsi="Calibri" w:cs="Calibri"/>
          <w:lang w:eastAsia="sl-SI"/>
        </w:rPr>
        <w:t>K7 »Dovoljeni deleži doplačila po vrstah in podvrstah zdravstvene dejavnosti«:</w:t>
      </w:r>
    </w:p>
    <w:p w14:paraId="412F4AD3" w14:textId="77777777" w:rsidR="00C53AD8" w:rsidRPr="00DC3DC8" w:rsidRDefault="00C53AD8" w:rsidP="00C53AD8">
      <w:pPr>
        <w:tabs>
          <w:tab w:val="left" w:pos="5670"/>
        </w:tabs>
        <w:spacing w:after="0" w:line="240" w:lineRule="auto"/>
        <w:ind w:left="720"/>
        <w:contextualSpacing/>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0"/>
        <w:gridCol w:w="540"/>
        <w:gridCol w:w="4927"/>
        <w:gridCol w:w="1269"/>
        <w:gridCol w:w="1185"/>
      </w:tblGrid>
      <w:tr w:rsidR="003801B9" w:rsidRPr="00DC3DC8" w14:paraId="3498992E" w14:textId="77777777" w:rsidTr="0024223A">
        <w:trPr>
          <w:trHeight w:val="335"/>
        </w:trPr>
        <w:tc>
          <w:tcPr>
            <w:tcW w:w="501" w:type="pct"/>
            <w:shd w:val="clear" w:color="auto" w:fill="auto"/>
            <w:vAlign w:val="bottom"/>
          </w:tcPr>
          <w:p w14:paraId="75CA3A63"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3194" w:type="pct"/>
            <w:gridSpan w:val="3"/>
            <w:shd w:val="clear" w:color="auto" w:fill="auto"/>
            <w:vAlign w:val="bottom"/>
          </w:tcPr>
          <w:p w14:paraId="6A2EE10C"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675" w:type="pct"/>
            <w:vAlign w:val="center"/>
          </w:tcPr>
          <w:p w14:paraId="237C7795" w14:textId="77777777" w:rsidR="003801B9" w:rsidRPr="00DC3DC8" w:rsidRDefault="003801B9" w:rsidP="003801B9">
            <w:pPr>
              <w:tabs>
                <w:tab w:val="left" w:pos="5670"/>
              </w:tabs>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 doplačila</w:t>
            </w:r>
          </w:p>
        </w:tc>
        <w:tc>
          <w:tcPr>
            <w:tcW w:w="630" w:type="pct"/>
            <w:shd w:val="clear" w:color="auto" w:fill="auto"/>
            <w:vAlign w:val="center"/>
          </w:tcPr>
          <w:p w14:paraId="79044A05" w14:textId="77777777" w:rsidR="003801B9" w:rsidRPr="00DC3DC8" w:rsidRDefault="003801B9" w:rsidP="003801B9">
            <w:pPr>
              <w:tabs>
                <w:tab w:val="left" w:pos="5670"/>
              </w:tabs>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 doplačila</w:t>
            </w:r>
          </w:p>
        </w:tc>
      </w:tr>
      <w:tr w:rsidR="003801B9" w:rsidRPr="00DC3DC8" w14:paraId="318C7FEA" w14:textId="77777777" w:rsidTr="0024223A">
        <w:trPr>
          <w:trHeight w:val="255"/>
        </w:trPr>
        <w:tc>
          <w:tcPr>
            <w:tcW w:w="501" w:type="pct"/>
            <w:shd w:val="clear" w:color="auto" w:fill="auto"/>
            <w:vAlign w:val="bottom"/>
          </w:tcPr>
          <w:p w14:paraId="5D393AD2"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Q86.210</w:t>
            </w:r>
          </w:p>
        </w:tc>
        <w:tc>
          <w:tcPr>
            <w:tcW w:w="3194" w:type="pct"/>
            <w:gridSpan w:val="3"/>
            <w:shd w:val="clear" w:color="auto" w:fill="auto"/>
            <w:vAlign w:val="bottom"/>
          </w:tcPr>
          <w:p w14:paraId="77928492"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Splošna zunajbolnišnična zdravstvena dejavnost</w:t>
            </w:r>
          </w:p>
        </w:tc>
        <w:tc>
          <w:tcPr>
            <w:tcW w:w="675" w:type="pct"/>
          </w:tcPr>
          <w:p w14:paraId="4AF4BFA9"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630" w:type="pct"/>
            <w:shd w:val="clear" w:color="auto" w:fill="auto"/>
            <w:vAlign w:val="bottom"/>
          </w:tcPr>
          <w:p w14:paraId="2A69A285"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r>
      <w:tr w:rsidR="003801B9" w:rsidRPr="00DC3DC8" w14:paraId="1B52C19C" w14:textId="77777777" w:rsidTr="0024223A">
        <w:tc>
          <w:tcPr>
            <w:tcW w:w="501" w:type="pct"/>
            <w:shd w:val="clear" w:color="auto" w:fill="auto"/>
            <w:vAlign w:val="bottom"/>
          </w:tcPr>
          <w:p w14:paraId="7614054D"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tcBorders>
              <w:top w:val="nil"/>
              <w:left w:val="nil"/>
              <w:bottom w:val="single" w:sz="4" w:space="0" w:color="auto"/>
              <w:right w:val="single" w:sz="4" w:space="0" w:color="auto"/>
            </w:tcBorders>
            <w:shd w:val="clear" w:color="auto" w:fill="auto"/>
            <w:vAlign w:val="center"/>
          </w:tcPr>
          <w:p w14:paraId="791C5E3E"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302</w:t>
            </w:r>
          </w:p>
        </w:tc>
        <w:tc>
          <w:tcPr>
            <w:tcW w:w="2907" w:type="pct"/>
            <w:gridSpan w:val="2"/>
            <w:tcBorders>
              <w:top w:val="single" w:sz="4" w:space="0" w:color="auto"/>
              <w:left w:val="nil"/>
              <w:bottom w:val="single" w:sz="4" w:space="0" w:color="auto"/>
              <w:right w:val="single" w:sz="4" w:space="0" w:color="auto"/>
            </w:tcBorders>
            <w:shd w:val="clear" w:color="auto" w:fill="auto"/>
            <w:vAlign w:val="center"/>
          </w:tcPr>
          <w:p w14:paraId="505879B7"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Splošna in družinska medicina v splošni zunajbolnišnični dejavnosti</w:t>
            </w:r>
          </w:p>
        </w:tc>
        <w:tc>
          <w:tcPr>
            <w:tcW w:w="675" w:type="pct"/>
          </w:tcPr>
          <w:p w14:paraId="6D4251CC"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630" w:type="pct"/>
            <w:shd w:val="clear" w:color="auto" w:fill="auto"/>
            <w:vAlign w:val="bottom"/>
          </w:tcPr>
          <w:p w14:paraId="2448E3AA"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r>
      <w:tr w:rsidR="003801B9" w:rsidRPr="00DC3DC8" w14:paraId="4266F42F" w14:textId="77777777" w:rsidTr="0024223A">
        <w:trPr>
          <w:trHeight w:val="255"/>
        </w:trPr>
        <w:tc>
          <w:tcPr>
            <w:tcW w:w="501" w:type="pct"/>
            <w:shd w:val="clear" w:color="auto" w:fill="auto"/>
            <w:vAlign w:val="bottom"/>
          </w:tcPr>
          <w:p w14:paraId="50DA30C6"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vAlign w:val="bottom"/>
          </w:tcPr>
          <w:p w14:paraId="5D8DF11F"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tcPr>
          <w:p w14:paraId="29682042" w14:textId="77777777" w:rsidR="003801B9" w:rsidRPr="00DC3DC8" w:rsidRDefault="003801B9" w:rsidP="003801B9">
            <w:pPr>
              <w:tabs>
                <w:tab w:val="left" w:pos="5670"/>
              </w:tabs>
              <w:spacing w:after="0" w:line="240" w:lineRule="auto"/>
              <w:jc w:val="right"/>
              <w:rPr>
                <w:rFonts w:ascii="Calibri" w:eastAsia="Times New Roman" w:hAnsi="Calibri" w:cs="Calibri"/>
                <w:b/>
                <w:bCs/>
                <w:sz w:val="20"/>
                <w:szCs w:val="20"/>
                <w:lang w:eastAsia="sl-SI"/>
              </w:rPr>
            </w:pPr>
            <w:r w:rsidRPr="00DC3DC8">
              <w:rPr>
                <w:rFonts w:eastAsia="Times New Roman" w:cstheme="minorHAnsi"/>
                <w:sz w:val="18"/>
                <w:szCs w:val="18"/>
                <w:lang w:eastAsia="sl-SI"/>
              </w:rPr>
              <w:t>064</w:t>
            </w:r>
          </w:p>
        </w:tc>
        <w:tc>
          <w:tcPr>
            <w:tcW w:w="2620" w:type="pct"/>
            <w:shd w:val="clear" w:color="auto" w:fill="auto"/>
          </w:tcPr>
          <w:p w14:paraId="1AAA5055" w14:textId="77777777" w:rsidR="003801B9" w:rsidRPr="00DC3DC8" w:rsidRDefault="003801B9" w:rsidP="003801B9">
            <w:pPr>
              <w:tabs>
                <w:tab w:val="left" w:pos="5670"/>
              </w:tabs>
              <w:spacing w:after="0" w:line="240" w:lineRule="auto"/>
              <w:jc w:val="both"/>
              <w:rPr>
                <w:rFonts w:ascii="Calibri" w:eastAsia="Times New Roman" w:hAnsi="Calibri" w:cs="Calibri"/>
                <w:b/>
                <w:bCs/>
                <w:sz w:val="20"/>
                <w:szCs w:val="20"/>
                <w:lang w:eastAsia="sl-SI"/>
              </w:rPr>
            </w:pPr>
            <w:r w:rsidRPr="00DC3DC8">
              <w:rPr>
                <w:rFonts w:eastAsia="Times New Roman" w:cstheme="minorHAnsi"/>
                <w:sz w:val="18"/>
                <w:szCs w:val="18"/>
                <w:lang w:eastAsia="sl-SI"/>
              </w:rPr>
              <w:t>Splošne ambulante za boljšo dostopnost do IOZ</w:t>
            </w:r>
          </w:p>
        </w:tc>
        <w:tc>
          <w:tcPr>
            <w:tcW w:w="675" w:type="pct"/>
          </w:tcPr>
          <w:p w14:paraId="12D883E1" w14:textId="77777777" w:rsidR="003801B9" w:rsidRPr="00DC3DC8" w:rsidDel="00691D75" w:rsidRDefault="003801B9" w:rsidP="003801B9">
            <w:pPr>
              <w:tabs>
                <w:tab w:val="left" w:pos="5670"/>
              </w:tabs>
              <w:spacing w:after="0" w:line="240" w:lineRule="auto"/>
              <w:jc w:val="center"/>
              <w:rPr>
                <w:rFonts w:ascii="Calibri" w:eastAsia="Times New Roman" w:hAnsi="Calibri" w:cs="Calibri"/>
                <w:bCs/>
                <w:sz w:val="20"/>
                <w:szCs w:val="20"/>
                <w:lang w:eastAsia="sl-SI"/>
              </w:rPr>
            </w:pPr>
            <w:r w:rsidRPr="00DC3DC8">
              <w:rPr>
                <w:rFonts w:ascii="Calibri" w:eastAsia="Times New Roman" w:hAnsi="Calibri" w:cs="Calibri"/>
                <w:bCs/>
                <w:sz w:val="20"/>
                <w:szCs w:val="20"/>
                <w:lang w:eastAsia="sl-SI"/>
              </w:rPr>
              <w:t>0</w:t>
            </w:r>
          </w:p>
        </w:tc>
        <w:tc>
          <w:tcPr>
            <w:tcW w:w="630" w:type="pct"/>
            <w:shd w:val="clear" w:color="auto" w:fill="auto"/>
          </w:tcPr>
          <w:p w14:paraId="17480EA8" w14:textId="77777777" w:rsidR="003801B9" w:rsidRPr="00DC3DC8" w:rsidRDefault="003801B9" w:rsidP="003801B9">
            <w:pPr>
              <w:tabs>
                <w:tab w:val="left" w:pos="5670"/>
              </w:tabs>
              <w:spacing w:after="0" w:line="240" w:lineRule="auto"/>
              <w:jc w:val="center"/>
              <w:rPr>
                <w:rFonts w:ascii="Calibri" w:eastAsia="Times New Roman" w:hAnsi="Calibri" w:cs="Calibri"/>
                <w:b/>
                <w:sz w:val="20"/>
                <w:szCs w:val="20"/>
                <w:lang w:eastAsia="sl-SI"/>
              </w:rPr>
            </w:pPr>
            <w:r w:rsidRPr="00DC3DC8">
              <w:rPr>
                <w:rFonts w:ascii="Calibri" w:eastAsia="Times New Roman" w:hAnsi="Calibri" w:cs="Calibri"/>
                <w:b/>
                <w:sz w:val="20"/>
                <w:szCs w:val="20"/>
                <w:lang w:eastAsia="sl-SI"/>
              </w:rPr>
              <w:t>20</w:t>
            </w:r>
          </w:p>
        </w:tc>
      </w:tr>
      <w:tr w:rsidR="003801B9" w:rsidRPr="00DC3DC8" w14:paraId="50A55275" w14:textId="77777777" w:rsidTr="0024223A">
        <w:trPr>
          <w:trHeight w:val="255"/>
        </w:trPr>
        <w:tc>
          <w:tcPr>
            <w:tcW w:w="501" w:type="pct"/>
            <w:shd w:val="clear" w:color="auto" w:fill="auto"/>
            <w:vAlign w:val="bottom"/>
          </w:tcPr>
          <w:p w14:paraId="02B28EE9"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tcPr>
          <w:p w14:paraId="17214056"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eastAsia="Times New Roman" w:cstheme="minorHAnsi"/>
                <w:sz w:val="18"/>
                <w:szCs w:val="18"/>
                <w:lang w:eastAsia="sl-SI"/>
              </w:rPr>
              <w:t>327</w:t>
            </w:r>
          </w:p>
        </w:tc>
        <w:tc>
          <w:tcPr>
            <w:tcW w:w="2907" w:type="pct"/>
            <w:gridSpan w:val="2"/>
            <w:shd w:val="clear" w:color="auto" w:fill="auto"/>
          </w:tcPr>
          <w:p w14:paraId="71ADE5DA" w14:textId="77777777" w:rsidR="003801B9" w:rsidRPr="00DC3DC8" w:rsidRDefault="003801B9" w:rsidP="003801B9">
            <w:pPr>
              <w:tabs>
                <w:tab w:val="left" w:pos="5670"/>
              </w:tabs>
              <w:spacing w:after="0" w:line="240" w:lineRule="auto"/>
              <w:jc w:val="both"/>
              <w:rPr>
                <w:rFonts w:ascii="Calibri" w:eastAsia="Times New Roman" w:hAnsi="Calibri" w:cs="Calibri"/>
                <w:b/>
                <w:bCs/>
                <w:sz w:val="20"/>
                <w:szCs w:val="20"/>
                <w:lang w:eastAsia="sl-SI"/>
              </w:rPr>
            </w:pPr>
            <w:r w:rsidRPr="00DC3DC8">
              <w:rPr>
                <w:rFonts w:eastAsia="Times New Roman" w:cstheme="minorHAnsi"/>
                <w:sz w:val="18"/>
                <w:szCs w:val="18"/>
                <w:lang w:eastAsia="sl-SI"/>
              </w:rPr>
              <w:t>Pediatrija v splošni zunajbolnišnični dejavnosti</w:t>
            </w:r>
          </w:p>
        </w:tc>
        <w:tc>
          <w:tcPr>
            <w:tcW w:w="675" w:type="pct"/>
          </w:tcPr>
          <w:p w14:paraId="3757DF65" w14:textId="77777777" w:rsidR="003801B9" w:rsidRPr="00DC3DC8" w:rsidRDefault="003801B9" w:rsidP="003801B9">
            <w:pPr>
              <w:tabs>
                <w:tab w:val="left" w:pos="5670"/>
              </w:tabs>
              <w:spacing w:after="0" w:line="240" w:lineRule="auto"/>
              <w:jc w:val="center"/>
              <w:rPr>
                <w:rFonts w:ascii="Calibri" w:eastAsia="Times New Roman" w:hAnsi="Calibri" w:cs="Calibri"/>
                <w:b/>
                <w:sz w:val="20"/>
                <w:szCs w:val="20"/>
                <w:lang w:eastAsia="sl-SI"/>
              </w:rPr>
            </w:pPr>
          </w:p>
        </w:tc>
        <w:tc>
          <w:tcPr>
            <w:tcW w:w="630" w:type="pct"/>
            <w:shd w:val="clear" w:color="auto" w:fill="auto"/>
          </w:tcPr>
          <w:p w14:paraId="412201A1" w14:textId="77777777" w:rsidR="003801B9" w:rsidRPr="00DC3DC8" w:rsidRDefault="003801B9" w:rsidP="003801B9">
            <w:pPr>
              <w:tabs>
                <w:tab w:val="left" w:pos="5670"/>
              </w:tabs>
              <w:spacing w:after="0" w:line="240" w:lineRule="auto"/>
              <w:jc w:val="center"/>
              <w:rPr>
                <w:rFonts w:ascii="Calibri" w:eastAsia="Times New Roman" w:hAnsi="Calibri" w:cs="Calibri"/>
                <w:b/>
                <w:sz w:val="20"/>
                <w:szCs w:val="20"/>
                <w:lang w:eastAsia="sl-SI"/>
              </w:rPr>
            </w:pPr>
          </w:p>
        </w:tc>
      </w:tr>
      <w:tr w:rsidR="003801B9" w:rsidRPr="00DC3DC8" w14:paraId="0C785B4C" w14:textId="77777777" w:rsidTr="0024223A">
        <w:trPr>
          <w:trHeight w:val="255"/>
        </w:trPr>
        <w:tc>
          <w:tcPr>
            <w:tcW w:w="501" w:type="pct"/>
            <w:shd w:val="clear" w:color="auto" w:fill="auto"/>
            <w:vAlign w:val="bottom"/>
          </w:tcPr>
          <w:p w14:paraId="71592B97"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vAlign w:val="bottom"/>
          </w:tcPr>
          <w:p w14:paraId="04EA3EF0"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tcPr>
          <w:p w14:paraId="297D3310" w14:textId="77777777" w:rsidR="003801B9" w:rsidRPr="00DC3DC8" w:rsidRDefault="003801B9" w:rsidP="003801B9">
            <w:pPr>
              <w:tabs>
                <w:tab w:val="left" w:pos="5670"/>
              </w:tabs>
              <w:spacing w:after="0" w:line="240" w:lineRule="auto"/>
              <w:jc w:val="right"/>
              <w:rPr>
                <w:rFonts w:ascii="Calibri" w:eastAsia="Times New Roman" w:hAnsi="Calibri" w:cs="Calibri"/>
                <w:b/>
                <w:bCs/>
                <w:sz w:val="20"/>
                <w:szCs w:val="20"/>
                <w:lang w:eastAsia="sl-SI"/>
              </w:rPr>
            </w:pPr>
            <w:r w:rsidRPr="00DC3DC8">
              <w:rPr>
                <w:rFonts w:eastAsia="Times New Roman" w:cstheme="minorHAnsi"/>
                <w:sz w:val="18"/>
                <w:szCs w:val="18"/>
                <w:lang w:eastAsia="sl-SI"/>
              </w:rPr>
              <w:t>065</w:t>
            </w:r>
          </w:p>
        </w:tc>
        <w:tc>
          <w:tcPr>
            <w:tcW w:w="2620" w:type="pct"/>
            <w:shd w:val="clear" w:color="auto" w:fill="auto"/>
          </w:tcPr>
          <w:p w14:paraId="431CB74B" w14:textId="77777777" w:rsidR="003801B9" w:rsidRPr="00DC3DC8" w:rsidRDefault="003801B9" w:rsidP="003801B9">
            <w:pPr>
              <w:tabs>
                <w:tab w:val="left" w:pos="5670"/>
              </w:tabs>
              <w:spacing w:after="0" w:line="240" w:lineRule="auto"/>
              <w:jc w:val="both"/>
              <w:rPr>
                <w:rFonts w:ascii="Calibri" w:eastAsia="Times New Roman" w:hAnsi="Calibri" w:cs="Calibri"/>
                <w:b/>
                <w:bCs/>
                <w:sz w:val="20"/>
                <w:szCs w:val="20"/>
                <w:lang w:eastAsia="sl-SI"/>
              </w:rPr>
            </w:pPr>
            <w:r w:rsidRPr="00DC3DC8">
              <w:rPr>
                <w:rFonts w:eastAsia="Times New Roman" w:cstheme="minorHAnsi"/>
                <w:sz w:val="18"/>
                <w:szCs w:val="18"/>
                <w:lang w:eastAsia="sl-SI"/>
              </w:rPr>
              <w:t>Otroški in šolski dispanzer za boljšo dostopnost do IOZ</w:t>
            </w:r>
          </w:p>
        </w:tc>
        <w:tc>
          <w:tcPr>
            <w:tcW w:w="675" w:type="pct"/>
          </w:tcPr>
          <w:p w14:paraId="3FB080DA" w14:textId="77777777" w:rsidR="003801B9" w:rsidRPr="00DC3DC8" w:rsidRDefault="003801B9" w:rsidP="003801B9">
            <w:pPr>
              <w:tabs>
                <w:tab w:val="left" w:pos="5670"/>
              </w:tabs>
              <w:spacing w:after="0" w:line="240" w:lineRule="auto"/>
              <w:jc w:val="center"/>
              <w:rPr>
                <w:rFonts w:ascii="Calibri" w:eastAsia="Times New Roman" w:hAnsi="Calibri" w:cs="Calibri"/>
                <w:b/>
                <w:sz w:val="20"/>
                <w:szCs w:val="20"/>
                <w:lang w:eastAsia="sl-SI"/>
              </w:rPr>
            </w:pPr>
            <w:r w:rsidRPr="00DC3DC8">
              <w:rPr>
                <w:rFonts w:ascii="Calibri" w:eastAsia="Times New Roman" w:hAnsi="Calibri" w:cs="Calibri"/>
                <w:bCs/>
                <w:sz w:val="20"/>
                <w:szCs w:val="20"/>
                <w:lang w:eastAsia="sl-SI"/>
              </w:rPr>
              <w:t>0</w:t>
            </w:r>
          </w:p>
        </w:tc>
        <w:tc>
          <w:tcPr>
            <w:tcW w:w="630" w:type="pct"/>
            <w:shd w:val="clear" w:color="auto" w:fill="auto"/>
          </w:tcPr>
          <w:p w14:paraId="714C0568" w14:textId="77777777" w:rsidR="003801B9" w:rsidRPr="00DC3DC8" w:rsidRDefault="003801B9" w:rsidP="003801B9">
            <w:pPr>
              <w:tabs>
                <w:tab w:val="left" w:pos="5670"/>
              </w:tabs>
              <w:spacing w:after="0" w:line="240" w:lineRule="auto"/>
              <w:jc w:val="center"/>
              <w:rPr>
                <w:rFonts w:ascii="Calibri" w:eastAsia="Times New Roman" w:hAnsi="Calibri" w:cs="Calibri"/>
                <w:b/>
                <w:sz w:val="20"/>
                <w:szCs w:val="20"/>
                <w:lang w:eastAsia="sl-SI"/>
              </w:rPr>
            </w:pPr>
            <w:r w:rsidRPr="00DC3DC8">
              <w:rPr>
                <w:rFonts w:ascii="Calibri" w:eastAsia="Times New Roman" w:hAnsi="Calibri" w:cs="Calibri"/>
                <w:b/>
                <w:sz w:val="20"/>
                <w:szCs w:val="20"/>
                <w:lang w:eastAsia="sl-SI"/>
              </w:rPr>
              <w:t>20</w:t>
            </w:r>
          </w:p>
        </w:tc>
      </w:tr>
    </w:tbl>
    <w:p w14:paraId="1383CDAA" w14:textId="4E565DF0" w:rsidR="003801B9" w:rsidRPr="00DC3DC8" w:rsidRDefault="003801B9" w:rsidP="00C53AD8">
      <w:pPr>
        <w:numPr>
          <w:ilvl w:val="0"/>
          <w:numId w:val="8"/>
        </w:numPr>
        <w:tabs>
          <w:tab w:val="left" w:pos="5670"/>
        </w:tabs>
        <w:autoSpaceDE w:val="0"/>
        <w:autoSpaceDN w:val="0"/>
        <w:adjustRightInd w:val="0"/>
        <w:spacing w:after="0" w:line="240" w:lineRule="auto"/>
        <w:ind w:left="357" w:hanging="357"/>
        <w:contextualSpacing/>
        <w:jc w:val="both"/>
        <w:rPr>
          <w:rFonts w:ascii="Calibri" w:eastAsia="Times New Roman" w:hAnsi="Calibri" w:cs="Calibri"/>
          <w:lang w:eastAsia="sl-SI"/>
        </w:rPr>
      </w:pPr>
      <w:r w:rsidRPr="00DC3DC8">
        <w:rPr>
          <w:rFonts w:ascii="Calibri" w:eastAsia="Calibri" w:hAnsi="Calibri" w:cs="Calibri"/>
          <w:lang w:eastAsia="sl-SI"/>
        </w:rPr>
        <w:lastRenderedPageBreak/>
        <w:t>povezovalni šifrant</w:t>
      </w:r>
      <w:r w:rsidRPr="00DC3DC8">
        <w:rPr>
          <w:rFonts w:ascii="Calibri" w:eastAsia="Calibri" w:hAnsi="Calibri" w:cs="Calibri"/>
          <w:color w:val="000000"/>
          <w:lang w:eastAsia="sl-SI"/>
        </w:rPr>
        <w:t xml:space="preserve"> </w:t>
      </w:r>
      <w:r w:rsidRPr="00DC3DC8">
        <w:rPr>
          <w:rFonts w:ascii="Calibri" w:eastAsia="Times New Roman" w:hAnsi="Calibri" w:cs="Calibri"/>
          <w:lang w:eastAsia="sl-SI"/>
        </w:rPr>
        <w:t>K10 »Dovoljene vrste obravnave bolnika po vrstah in podvrstah zdravstvene dejavnosti«:</w:t>
      </w:r>
    </w:p>
    <w:p w14:paraId="625E9F7F" w14:textId="77777777" w:rsidR="00C53AD8" w:rsidRPr="00DC3DC8" w:rsidRDefault="00C53AD8" w:rsidP="00C53AD8">
      <w:pPr>
        <w:tabs>
          <w:tab w:val="left" w:pos="5670"/>
        </w:tabs>
        <w:autoSpaceDE w:val="0"/>
        <w:autoSpaceDN w:val="0"/>
        <w:adjustRightInd w:val="0"/>
        <w:spacing w:after="0" w:line="240" w:lineRule="auto"/>
        <w:ind w:left="720"/>
        <w:contextualSpacing/>
        <w:jc w:val="both"/>
        <w:rPr>
          <w:rFonts w:ascii="Calibri" w:eastAsia="Times New Roman" w:hAnsi="Calibri" w:cs="Calibri"/>
          <w:lang w:eastAsia="sl-SI"/>
        </w:rPr>
      </w:pPr>
    </w:p>
    <w:tbl>
      <w:tblPr>
        <w:tblW w:w="5274" w:type="pct"/>
        <w:tblLayout w:type="fixed"/>
        <w:tblCellMar>
          <w:left w:w="70" w:type="dxa"/>
          <w:right w:w="70" w:type="dxa"/>
        </w:tblCellMar>
        <w:tblLook w:val="04A0" w:firstRow="1" w:lastRow="0" w:firstColumn="1" w:lastColumn="0" w:noHBand="0" w:noVBand="1"/>
      </w:tblPr>
      <w:tblGrid>
        <w:gridCol w:w="884"/>
        <w:gridCol w:w="445"/>
        <w:gridCol w:w="595"/>
        <w:gridCol w:w="540"/>
        <w:gridCol w:w="167"/>
        <w:gridCol w:w="1082"/>
        <w:gridCol w:w="990"/>
        <w:gridCol w:w="990"/>
        <w:gridCol w:w="1133"/>
        <w:gridCol w:w="1133"/>
        <w:gridCol w:w="994"/>
        <w:gridCol w:w="971"/>
      </w:tblGrid>
      <w:tr w:rsidR="003801B9" w:rsidRPr="00DC3DC8" w14:paraId="028F5C83" w14:textId="77777777" w:rsidTr="0024223A">
        <w:trPr>
          <w:trHeight w:val="300"/>
        </w:trPr>
        <w:tc>
          <w:tcPr>
            <w:tcW w:w="445" w:type="pct"/>
            <w:tcBorders>
              <w:top w:val="nil"/>
              <w:left w:val="nil"/>
              <w:bottom w:val="nil"/>
              <w:right w:val="nil"/>
            </w:tcBorders>
            <w:shd w:val="clear" w:color="auto" w:fill="auto"/>
            <w:noWrap/>
            <w:vAlign w:val="bottom"/>
            <w:hideMark/>
          </w:tcPr>
          <w:p w14:paraId="4275A8C8"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524" w:type="pct"/>
            <w:gridSpan w:val="2"/>
            <w:tcBorders>
              <w:top w:val="nil"/>
              <w:left w:val="nil"/>
              <w:bottom w:val="nil"/>
              <w:right w:val="nil"/>
            </w:tcBorders>
            <w:shd w:val="clear" w:color="auto" w:fill="auto"/>
            <w:noWrap/>
            <w:vAlign w:val="bottom"/>
            <w:hideMark/>
          </w:tcPr>
          <w:p w14:paraId="36D8E771"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72" w:type="pct"/>
            <w:tcBorders>
              <w:top w:val="nil"/>
              <w:left w:val="nil"/>
              <w:bottom w:val="nil"/>
              <w:right w:val="nil"/>
            </w:tcBorders>
            <w:shd w:val="clear" w:color="auto" w:fill="auto"/>
            <w:noWrap/>
            <w:vAlign w:val="bottom"/>
            <w:hideMark/>
          </w:tcPr>
          <w:p w14:paraId="3A339D7D"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84" w:type="pct"/>
            <w:tcBorders>
              <w:top w:val="nil"/>
              <w:left w:val="nil"/>
              <w:bottom w:val="nil"/>
              <w:right w:val="nil"/>
            </w:tcBorders>
            <w:shd w:val="clear" w:color="auto" w:fill="auto"/>
            <w:noWrap/>
            <w:vAlign w:val="bottom"/>
            <w:hideMark/>
          </w:tcPr>
          <w:p w14:paraId="692D8A2B"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545" w:type="pct"/>
            <w:tcBorders>
              <w:top w:val="nil"/>
              <w:left w:val="nil"/>
              <w:bottom w:val="nil"/>
              <w:right w:val="nil"/>
            </w:tcBorders>
            <w:shd w:val="clear" w:color="auto" w:fill="auto"/>
            <w:vAlign w:val="bottom"/>
            <w:hideMark/>
          </w:tcPr>
          <w:p w14:paraId="131A7196"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313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84326C"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Vrsta obravnave bolnika</w:t>
            </w:r>
          </w:p>
        </w:tc>
      </w:tr>
      <w:tr w:rsidR="003801B9" w:rsidRPr="00DC3DC8" w14:paraId="5536921C" w14:textId="77777777" w:rsidTr="0024223A">
        <w:trPr>
          <w:trHeight w:val="945"/>
        </w:trPr>
        <w:tc>
          <w:tcPr>
            <w:tcW w:w="445" w:type="pct"/>
            <w:tcBorders>
              <w:top w:val="nil"/>
              <w:left w:val="nil"/>
              <w:bottom w:val="nil"/>
              <w:right w:val="nil"/>
            </w:tcBorders>
            <w:shd w:val="clear" w:color="auto" w:fill="auto"/>
            <w:noWrap/>
            <w:vAlign w:val="bottom"/>
            <w:hideMark/>
          </w:tcPr>
          <w:p w14:paraId="50DCCA0E" w14:textId="77777777" w:rsidR="003801B9" w:rsidRPr="00DC3DC8" w:rsidRDefault="003801B9" w:rsidP="003801B9">
            <w:pPr>
              <w:tabs>
                <w:tab w:val="left" w:pos="5670"/>
              </w:tabs>
              <w:spacing w:after="0" w:line="240" w:lineRule="auto"/>
              <w:jc w:val="center"/>
              <w:rPr>
                <w:rFonts w:ascii="Calibri" w:eastAsia="Times New Roman" w:hAnsi="Calibri" w:cs="Calibri"/>
                <w:b/>
                <w:bCs/>
                <w:sz w:val="16"/>
                <w:szCs w:val="16"/>
                <w:lang w:eastAsia="sl-SI"/>
              </w:rPr>
            </w:pPr>
          </w:p>
        </w:tc>
        <w:tc>
          <w:tcPr>
            <w:tcW w:w="524" w:type="pct"/>
            <w:gridSpan w:val="2"/>
            <w:tcBorders>
              <w:top w:val="nil"/>
              <w:left w:val="nil"/>
              <w:bottom w:val="nil"/>
              <w:right w:val="nil"/>
            </w:tcBorders>
            <w:shd w:val="clear" w:color="auto" w:fill="auto"/>
            <w:noWrap/>
            <w:vAlign w:val="bottom"/>
            <w:hideMark/>
          </w:tcPr>
          <w:p w14:paraId="41406B55"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272" w:type="pct"/>
            <w:tcBorders>
              <w:top w:val="nil"/>
              <w:left w:val="nil"/>
              <w:bottom w:val="nil"/>
              <w:right w:val="nil"/>
            </w:tcBorders>
            <w:shd w:val="clear" w:color="auto" w:fill="auto"/>
            <w:noWrap/>
            <w:vAlign w:val="bottom"/>
            <w:hideMark/>
          </w:tcPr>
          <w:p w14:paraId="5F626A1A"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84" w:type="pct"/>
            <w:tcBorders>
              <w:top w:val="nil"/>
              <w:left w:val="nil"/>
              <w:bottom w:val="nil"/>
              <w:right w:val="nil"/>
            </w:tcBorders>
            <w:shd w:val="clear" w:color="auto" w:fill="auto"/>
            <w:noWrap/>
            <w:vAlign w:val="bottom"/>
            <w:hideMark/>
          </w:tcPr>
          <w:p w14:paraId="5D8D598F"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545" w:type="pct"/>
            <w:tcBorders>
              <w:top w:val="nil"/>
              <w:left w:val="nil"/>
              <w:bottom w:val="nil"/>
              <w:right w:val="nil"/>
            </w:tcBorders>
            <w:shd w:val="clear" w:color="auto" w:fill="auto"/>
            <w:vAlign w:val="bottom"/>
            <w:hideMark/>
          </w:tcPr>
          <w:p w14:paraId="12B1B54B" w14:textId="77777777" w:rsidR="003801B9" w:rsidRPr="00DC3DC8" w:rsidRDefault="003801B9" w:rsidP="003801B9">
            <w:pPr>
              <w:tabs>
                <w:tab w:val="left" w:pos="5670"/>
              </w:tabs>
              <w:spacing w:after="0" w:line="240" w:lineRule="auto"/>
              <w:jc w:val="both"/>
              <w:rPr>
                <w:rFonts w:ascii="Calibri" w:eastAsia="Times New Roman" w:hAnsi="Calibri" w:cs="Calibri"/>
                <w:sz w:val="16"/>
                <w:szCs w:val="16"/>
                <w:lang w:eastAsia="sl-SI"/>
              </w:rPr>
            </w:pPr>
          </w:p>
        </w:tc>
        <w:tc>
          <w:tcPr>
            <w:tcW w:w="499" w:type="pct"/>
            <w:tcBorders>
              <w:top w:val="nil"/>
              <w:left w:val="single" w:sz="4" w:space="0" w:color="auto"/>
              <w:bottom w:val="single" w:sz="4" w:space="0" w:color="auto"/>
              <w:right w:val="single" w:sz="4" w:space="0" w:color="auto"/>
            </w:tcBorders>
            <w:shd w:val="clear" w:color="auto" w:fill="auto"/>
            <w:hideMark/>
          </w:tcPr>
          <w:p w14:paraId="4684B8C4"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Obravnava z nočitvijo (hospitalizacija)</w:t>
            </w:r>
          </w:p>
        </w:tc>
        <w:tc>
          <w:tcPr>
            <w:tcW w:w="499" w:type="pct"/>
            <w:tcBorders>
              <w:top w:val="nil"/>
              <w:left w:val="nil"/>
              <w:bottom w:val="single" w:sz="4" w:space="0" w:color="auto"/>
              <w:right w:val="single" w:sz="4" w:space="0" w:color="auto"/>
            </w:tcBorders>
            <w:shd w:val="clear" w:color="auto" w:fill="auto"/>
            <w:hideMark/>
          </w:tcPr>
          <w:p w14:paraId="6CB10BB8"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Dnevna bolnišnična obravnava</w:t>
            </w:r>
          </w:p>
        </w:tc>
        <w:tc>
          <w:tcPr>
            <w:tcW w:w="571" w:type="pct"/>
            <w:tcBorders>
              <w:top w:val="nil"/>
              <w:left w:val="nil"/>
              <w:bottom w:val="single" w:sz="4" w:space="0" w:color="auto"/>
              <w:right w:val="single" w:sz="4" w:space="0" w:color="auto"/>
            </w:tcBorders>
            <w:shd w:val="clear" w:color="auto" w:fill="auto"/>
            <w:hideMark/>
          </w:tcPr>
          <w:p w14:paraId="5F1B8DD9"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Dolgotrajna dnevna bolnišnična obravnava</w:t>
            </w:r>
          </w:p>
        </w:tc>
        <w:tc>
          <w:tcPr>
            <w:tcW w:w="571" w:type="pct"/>
            <w:tcBorders>
              <w:top w:val="nil"/>
              <w:left w:val="nil"/>
              <w:bottom w:val="single" w:sz="4" w:space="0" w:color="auto"/>
              <w:right w:val="single" w:sz="4" w:space="0" w:color="auto"/>
            </w:tcBorders>
            <w:shd w:val="clear" w:color="auto" w:fill="auto"/>
            <w:hideMark/>
          </w:tcPr>
          <w:p w14:paraId="3F1DAF59"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Specialistična zunajbolnišnična  obravnava</w:t>
            </w:r>
          </w:p>
        </w:tc>
        <w:tc>
          <w:tcPr>
            <w:tcW w:w="501" w:type="pct"/>
            <w:tcBorders>
              <w:top w:val="nil"/>
              <w:left w:val="nil"/>
              <w:bottom w:val="single" w:sz="4" w:space="0" w:color="auto"/>
              <w:right w:val="single" w:sz="4" w:space="0" w:color="auto"/>
            </w:tcBorders>
            <w:shd w:val="clear" w:color="auto" w:fill="auto"/>
            <w:hideMark/>
          </w:tcPr>
          <w:p w14:paraId="70DCCA49"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Splošna zunajbolnišnična obravnava</w:t>
            </w:r>
          </w:p>
        </w:tc>
        <w:tc>
          <w:tcPr>
            <w:tcW w:w="490" w:type="pct"/>
            <w:tcBorders>
              <w:top w:val="nil"/>
              <w:left w:val="nil"/>
              <w:bottom w:val="single" w:sz="4" w:space="0" w:color="auto"/>
              <w:right w:val="single" w:sz="4" w:space="0" w:color="auto"/>
            </w:tcBorders>
            <w:shd w:val="clear" w:color="auto" w:fill="auto"/>
            <w:hideMark/>
          </w:tcPr>
          <w:p w14:paraId="6149545E"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Ostale obravnave</w:t>
            </w:r>
          </w:p>
        </w:tc>
      </w:tr>
      <w:tr w:rsidR="003801B9" w:rsidRPr="00DC3DC8" w14:paraId="30011259" w14:textId="77777777" w:rsidTr="0024223A">
        <w:trPr>
          <w:trHeight w:val="521"/>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00E98"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Šifra zdr. dej.</w:t>
            </w:r>
          </w:p>
        </w:tc>
        <w:tc>
          <w:tcPr>
            <w:tcW w:w="524" w:type="pct"/>
            <w:gridSpan w:val="2"/>
            <w:tcBorders>
              <w:top w:val="single" w:sz="4" w:space="0" w:color="auto"/>
              <w:left w:val="nil"/>
              <w:bottom w:val="single" w:sz="4" w:space="0" w:color="auto"/>
              <w:right w:val="nil"/>
            </w:tcBorders>
            <w:shd w:val="clear" w:color="auto" w:fill="auto"/>
            <w:vAlign w:val="center"/>
            <w:hideMark/>
          </w:tcPr>
          <w:p w14:paraId="168CAF91"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Zdrav. dejavnost</w:t>
            </w:r>
          </w:p>
        </w:tc>
        <w:tc>
          <w:tcPr>
            <w:tcW w:w="90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38190E"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Vrsta dejavnosti, podvrsta dejavnosti</w:t>
            </w:r>
          </w:p>
        </w:tc>
        <w:tc>
          <w:tcPr>
            <w:tcW w:w="499" w:type="pct"/>
            <w:tcBorders>
              <w:top w:val="nil"/>
              <w:left w:val="nil"/>
              <w:bottom w:val="single" w:sz="4" w:space="0" w:color="auto"/>
              <w:right w:val="single" w:sz="4" w:space="0" w:color="auto"/>
            </w:tcBorders>
            <w:shd w:val="clear" w:color="auto" w:fill="auto"/>
            <w:vAlign w:val="center"/>
            <w:hideMark/>
          </w:tcPr>
          <w:p w14:paraId="3925FD96"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1</w:t>
            </w:r>
          </w:p>
        </w:tc>
        <w:tc>
          <w:tcPr>
            <w:tcW w:w="499" w:type="pct"/>
            <w:tcBorders>
              <w:top w:val="nil"/>
              <w:left w:val="nil"/>
              <w:bottom w:val="single" w:sz="4" w:space="0" w:color="auto"/>
              <w:right w:val="single" w:sz="4" w:space="0" w:color="auto"/>
            </w:tcBorders>
            <w:shd w:val="clear" w:color="auto" w:fill="auto"/>
            <w:vAlign w:val="center"/>
            <w:hideMark/>
          </w:tcPr>
          <w:p w14:paraId="017E329F"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2</w:t>
            </w:r>
          </w:p>
        </w:tc>
        <w:tc>
          <w:tcPr>
            <w:tcW w:w="571" w:type="pct"/>
            <w:tcBorders>
              <w:top w:val="nil"/>
              <w:left w:val="nil"/>
              <w:bottom w:val="single" w:sz="4" w:space="0" w:color="auto"/>
              <w:right w:val="single" w:sz="4" w:space="0" w:color="auto"/>
            </w:tcBorders>
            <w:shd w:val="clear" w:color="auto" w:fill="auto"/>
            <w:vAlign w:val="center"/>
            <w:hideMark/>
          </w:tcPr>
          <w:p w14:paraId="6168AA0B"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3</w:t>
            </w:r>
          </w:p>
        </w:tc>
        <w:tc>
          <w:tcPr>
            <w:tcW w:w="571" w:type="pct"/>
            <w:tcBorders>
              <w:top w:val="nil"/>
              <w:left w:val="nil"/>
              <w:bottom w:val="single" w:sz="4" w:space="0" w:color="auto"/>
              <w:right w:val="single" w:sz="4" w:space="0" w:color="auto"/>
            </w:tcBorders>
            <w:shd w:val="clear" w:color="auto" w:fill="auto"/>
            <w:vAlign w:val="center"/>
            <w:hideMark/>
          </w:tcPr>
          <w:p w14:paraId="07504F41"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4</w:t>
            </w:r>
          </w:p>
        </w:tc>
        <w:tc>
          <w:tcPr>
            <w:tcW w:w="501" w:type="pct"/>
            <w:tcBorders>
              <w:top w:val="nil"/>
              <w:left w:val="nil"/>
              <w:bottom w:val="single" w:sz="4" w:space="0" w:color="auto"/>
              <w:right w:val="single" w:sz="4" w:space="0" w:color="auto"/>
            </w:tcBorders>
            <w:shd w:val="clear" w:color="auto" w:fill="auto"/>
            <w:vAlign w:val="center"/>
            <w:hideMark/>
          </w:tcPr>
          <w:p w14:paraId="2EFD14BB"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5</w:t>
            </w:r>
          </w:p>
        </w:tc>
        <w:tc>
          <w:tcPr>
            <w:tcW w:w="490" w:type="pct"/>
            <w:tcBorders>
              <w:top w:val="nil"/>
              <w:left w:val="nil"/>
              <w:bottom w:val="single" w:sz="4" w:space="0" w:color="auto"/>
              <w:right w:val="single" w:sz="4" w:space="0" w:color="auto"/>
            </w:tcBorders>
            <w:shd w:val="clear" w:color="auto" w:fill="auto"/>
            <w:vAlign w:val="center"/>
            <w:hideMark/>
          </w:tcPr>
          <w:p w14:paraId="3E11128A" w14:textId="77777777" w:rsidR="003801B9" w:rsidRPr="00DC3DC8" w:rsidRDefault="003801B9" w:rsidP="003801B9">
            <w:pPr>
              <w:tabs>
                <w:tab w:val="left" w:pos="5670"/>
              </w:tabs>
              <w:spacing w:after="0" w:line="240" w:lineRule="auto"/>
              <w:jc w:val="center"/>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9</w:t>
            </w:r>
          </w:p>
        </w:tc>
      </w:tr>
      <w:tr w:rsidR="003801B9" w:rsidRPr="00DC3DC8" w14:paraId="17A0ABE2" w14:textId="77777777" w:rsidTr="0024223A">
        <w:trPr>
          <w:trHeight w:val="300"/>
        </w:trPr>
        <w:tc>
          <w:tcPr>
            <w:tcW w:w="445" w:type="pct"/>
            <w:tcBorders>
              <w:top w:val="nil"/>
              <w:left w:val="single" w:sz="4" w:space="0" w:color="auto"/>
              <w:bottom w:val="single" w:sz="4" w:space="0" w:color="auto"/>
              <w:right w:val="single" w:sz="4" w:space="0" w:color="auto"/>
            </w:tcBorders>
            <w:shd w:val="clear" w:color="auto" w:fill="auto"/>
            <w:noWrap/>
          </w:tcPr>
          <w:p w14:paraId="3429AE7C"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Q86.210</w:t>
            </w:r>
          </w:p>
        </w:tc>
        <w:tc>
          <w:tcPr>
            <w:tcW w:w="1425" w:type="pct"/>
            <w:gridSpan w:val="5"/>
            <w:tcBorders>
              <w:top w:val="nil"/>
              <w:left w:val="nil"/>
              <w:bottom w:val="single" w:sz="4" w:space="0" w:color="auto"/>
              <w:right w:val="single" w:sz="4" w:space="0" w:color="auto"/>
            </w:tcBorders>
            <w:shd w:val="clear" w:color="auto" w:fill="auto"/>
            <w:noWrap/>
            <w:vAlign w:val="bottom"/>
          </w:tcPr>
          <w:p w14:paraId="3E178FD5"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Splošna zunajbolnišnična zdravstvena dejavnost</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14:paraId="28F5AE7B"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499" w:type="pct"/>
            <w:tcBorders>
              <w:top w:val="nil"/>
              <w:left w:val="nil"/>
              <w:bottom w:val="single" w:sz="4" w:space="0" w:color="auto"/>
              <w:right w:val="single" w:sz="4" w:space="0" w:color="auto"/>
            </w:tcBorders>
            <w:shd w:val="clear" w:color="auto" w:fill="auto"/>
            <w:noWrap/>
            <w:vAlign w:val="center"/>
            <w:hideMark/>
          </w:tcPr>
          <w:p w14:paraId="74335ED3"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71C9C30E"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571" w:type="pct"/>
            <w:tcBorders>
              <w:top w:val="nil"/>
              <w:left w:val="nil"/>
              <w:bottom w:val="single" w:sz="4" w:space="0" w:color="auto"/>
              <w:right w:val="single" w:sz="4" w:space="0" w:color="auto"/>
            </w:tcBorders>
            <w:shd w:val="clear" w:color="auto" w:fill="auto"/>
            <w:noWrap/>
            <w:vAlign w:val="center"/>
            <w:hideMark/>
          </w:tcPr>
          <w:p w14:paraId="644CDA68"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501" w:type="pct"/>
            <w:tcBorders>
              <w:top w:val="nil"/>
              <w:left w:val="nil"/>
              <w:bottom w:val="single" w:sz="4" w:space="0" w:color="auto"/>
              <w:right w:val="single" w:sz="4" w:space="0" w:color="auto"/>
            </w:tcBorders>
            <w:shd w:val="clear" w:color="auto" w:fill="auto"/>
            <w:noWrap/>
            <w:vAlign w:val="center"/>
            <w:hideMark/>
          </w:tcPr>
          <w:p w14:paraId="7363BE64"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c>
          <w:tcPr>
            <w:tcW w:w="490" w:type="pct"/>
            <w:tcBorders>
              <w:top w:val="nil"/>
              <w:left w:val="nil"/>
              <w:bottom w:val="single" w:sz="4" w:space="0" w:color="auto"/>
              <w:right w:val="single" w:sz="4" w:space="0" w:color="auto"/>
            </w:tcBorders>
            <w:shd w:val="clear" w:color="auto" w:fill="auto"/>
            <w:noWrap/>
            <w:vAlign w:val="center"/>
            <w:hideMark/>
          </w:tcPr>
          <w:p w14:paraId="548BF0C6"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 </w:t>
            </w:r>
          </w:p>
        </w:tc>
      </w:tr>
      <w:tr w:rsidR="003801B9" w:rsidRPr="00DC3DC8" w14:paraId="2A54BB54" w14:textId="77777777" w:rsidTr="0024223A">
        <w:trPr>
          <w:trHeight w:val="300"/>
        </w:trPr>
        <w:tc>
          <w:tcPr>
            <w:tcW w:w="445" w:type="pct"/>
            <w:tcBorders>
              <w:top w:val="nil"/>
              <w:left w:val="single" w:sz="4" w:space="0" w:color="auto"/>
              <w:bottom w:val="single" w:sz="4" w:space="0" w:color="auto"/>
              <w:right w:val="single" w:sz="4" w:space="0" w:color="auto"/>
            </w:tcBorders>
            <w:shd w:val="clear" w:color="auto" w:fill="auto"/>
            <w:noWrap/>
          </w:tcPr>
          <w:p w14:paraId="09EEA950"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224" w:type="pct"/>
            <w:tcBorders>
              <w:top w:val="nil"/>
              <w:left w:val="nil"/>
              <w:bottom w:val="single" w:sz="4" w:space="0" w:color="auto"/>
              <w:right w:val="single" w:sz="4" w:space="0" w:color="auto"/>
            </w:tcBorders>
            <w:shd w:val="clear" w:color="auto" w:fill="auto"/>
            <w:noWrap/>
            <w:vAlign w:val="center"/>
          </w:tcPr>
          <w:p w14:paraId="23E21BFC"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302</w:t>
            </w:r>
          </w:p>
        </w:tc>
        <w:tc>
          <w:tcPr>
            <w:tcW w:w="1200" w:type="pct"/>
            <w:gridSpan w:val="4"/>
            <w:tcBorders>
              <w:top w:val="nil"/>
              <w:left w:val="nil"/>
              <w:bottom w:val="single" w:sz="4" w:space="0" w:color="auto"/>
              <w:right w:val="single" w:sz="4" w:space="0" w:color="auto"/>
            </w:tcBorders>
            <w:shd w:val="clear" w:color="auto" w:fill="auto"/>
            <w:vAlign w:val="center"/>
          </w:tcPr>
          <w:p w14:paraId="345855AF"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r w:rsidRPr="00DC3DC8">
              <w:rPr>
                <w:rFonts w:ascii="Calibri" w:eastAsia="Times New Roman" w:hAnsi="Calibri" w:cs="Calibri"/>
                <w:sz w:val="18"/>
                <w:szCs w:val="18"/>
                <w:lang w:eastAsia="sl-SI"/>
              </w:rPr>
              <w:t>Splošna in družinska medicina v splošni zunajbolnišnični dejavnosti</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3BDBEAD3"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499" w:type="pct"/>
            <w:tcBorders>
              <w:top w:val="nil"/>
              <w:left w:val="nil"/>
              <w:bottom w:val="single" w:sz="4" w:space="0" w:color="auto"/>
              <w:right w:val="single" w:sz="4" w:space="0" w:color="auto"/>
            </w:tcBorders>
            <w:shd w:val="clear" w:color="auto" w:fill="auto"/>
            <w:noWrap/>
            <w:vAlign w:val="center"/>
          </w:tcPr>
          <w:p w14:paraId="7ECC68BB"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02DAC419"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571" w:type="pct"/>
            <w:tcBorders>
              <w:top w:val="nil"/>
              <w:left w:val="nil"/>
              <w:bottom w:val="single" w:sz="4" w:space="0" w:color="auto"/>
              <w:right w:val="single" w:sz="4" w:space="0" w:color="auto"/>
            </w:tcBorders>
            <w:shd w:val="clear" w:color="auto" w:fill="auto"/>
            <w:noWrap/>
            <w:vAlign w:val="center"/>
          </w:tcPr>
          <w:p w14:paraId="1DA1B7CB"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501" w:type="pct"/>
            <w:tcBorders>
              <w:top w:val="nil"/>
              <w:left w:val="nil"/>
              <w:bottom w:val="single" w:sz="4" w:space="0" w:color="auto"/>
              <w:right w:val="single" w:sz="4" w:space="0" w:color="auto"/>
            </w:tcBorders>
            <w:shd w:val="clear" w:color="auto" w:fill="auto"/>
            <w:noWrap/>
            <w:vAlign w:val="center"/>
          </w:tcPr>
          <w:p w14:paraId="6014AFE0"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490" w:type="pct"/>
            <w:tcBorders>
              <w:top w:val="nil"/>
              <w:left w:val="nil"/>
              <w:bottom w:val="single" w:sz="4" w:space="0" w:color="auto"/>
              <w:right w:val="single" w:sz="4" w:space="0" w:color="auto"/>
            </w:tcBorders>
            <w:shd w:val="clear" w:color="auto" w:fill="auto"/>
            <w:noWrap/>
            <w:vAlign w:val="center"/>
          </w:tcPr>
          <w:p w14:paraId="14AC2002"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r>
      <w:tr w:rsidR="003801B9" w:rsidRPr="00DC3DC8" w14:paraId="60AFA7CD" w14:textId="77777777" w:rsidTr="0024223A">
        <w:trPr>
          <w:trHeight w:val="315"/>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34DC0"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p>
        </w:tc>
        <w:tc>
          <w:tcPr>
            <w:tcW w:w="224" w:type="pct"/>
            <w:tcBorders>
              <w:top w:val="single" w:sz="4" w:space="0" w:color="auto"/>
              <w:left w:val="nil"/>
              <w:bottom w:val="single" w:sz="4" w:space="0" w:color="auto"/>
              <w:right w:val="single" w:sz="4" w:space="0" w:color="auto"/>
            </w:tcBorders>
            <w:shd w:val="clear" w:color="auto" w:fill="auto"/>
            <w:noWrap/>
            <w:vAlign w:val="bottom"/>
          </w:tcPr>
          <w:p w14:paraId="06EA7620"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p>
        </w:tc>
        <w:tc>
          <w:tcPr>
            <w:tcW w:w="300" w:type="pct"/>
            <w:tcBorders>
              <w:top w:val="single" w:sz="4" w:space="0" w:color="auto"/>
              <w:left w:val="nil"/>
              <w:bottom w:val="single" w:sz="4" w:space="0" w:color="auto"/>
              <w:right w:val="single" w:sz="4" w:space="0" w:color="auto"/>
            </w:tcBorders>
            <w:shd w:val="clear" w:color="auto" w:fill="auto"/>
          </w:tcPr>
          <w:p w14:paraId="6BC26604"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r w:rsidRPr="00DC3DC8">
              <w:rPr>
                <w:rFonts w:eastAsia="Times New Roman" w:cstheme="minorHAnsi"/>
                <w:sz w:val="18"/>
                <w:szCs w:val="18"/>
                <w:lang w:eastAsia="sl-SI"/>
              </w:rPr>
              <w:t>064</w:t>
            </w:r>
          </w:p>
        </w:tc>
        <w:tc>
          <w:tcPr>
            <w:tcW w:w="901" w:type="pct"/>
            <w:gridSpan w:val="3"/>
            <w:tcBorders>
              <w:top w:val="single" w:sz="4" w:space="0" w:color="auto"/>
              <w:left w:val="nil"/>
              <w:bottom w:val="single" w:sz="4" w:space="0" w:color="auto"/>
              <w:right w:val="single" w:sz="4" w:space="0" w:color="auto"/>
            </w:tcBorders>
            <w:shd w:val="clear" w:color="auto" w:fill="auto"/>
          </w:tcPr>
          <w:p w14:paraId="1BD090BB"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r w:rsidRPr="00DC3DC8">
              <w:rPr>
                <w:rFonts w:eastAsia="Times New Roman" w:cstheme="minorHAnsi"/>
                <w:sz w:val="18"/>
                <w:szCs w:val="18"/>
                <w:lang w:eastAsia="sl-SI"/>
              </w:rPr>
              <w:t>Splošne ambulante za boljšo dostopnost do IOZ</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2B4D115A"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469F851C"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70C24DB9"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692CA824"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713B69AE"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X</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0F523B0A"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X</w:t>
            </w:r>
          </w:p>
        </w:tc>
      </w:tr>
      <w:tr w:rsidR="003801B9" w:rsidRPr="00DC3DC8" w14:paraId="236BC8CA" w14:textId="77777777" w:rsidTr="0024223A">
        <w:trPr>
          <w:trHeight w:val="315"/>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C55404"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p>
        </w:tc>
        <w:tc>
          <w:tcPr>
            <w:tcW w:w="224" w:type="pct"/>
            <w:tcBorders>
              <w:top w:val="single" w:sz="4" w:space="0" w:color="auto"/>
              <w:left w:val="nil"/>
              <w:bottom w:val="single" w:sz="4" w:space="0" w:color="auto"/>
              <w:right w:val="single" w:sz="4" w:space="0" w:color="auto"/>
            </w:tcBorders>
            <w:shd w:val="clear" w:color="auto" w:fill="auto"/>
            <w:noWrap/>
          </w:tcPr>
          <w:p w14:paraId="2634F08D"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r w:rsidRPr="00DC3DC8">
              <w:rPr>
                <w:rFonts w:eastAsia="Times New Roman" w:cstheme="minorHAnsi"/>
                <w:sz w:val="18"/>
                <w:szCs w:val="18"/>
                <w:lang w:eastAsia="sl-SI"/>
              </w:rPr>
              <w:t>327</w:t>
            </w:r>
          </w:p>
        </w:tc>
        <w:tc>
          <w:tcPr>
            <w:tcW w:w="1200" w:type="pct"/>
            <w:gridSpan w:val="4"/>
            <w:tcBorders>
              <w:top w:val="single" w:sz="4" w:space="0" w:color="auto"/>
              <w:left w:val="nil"/>
              <w:bottom w:val="single" w:sz="4" w:space="0" w:color="auto"/>
              <w:right w:val="single" w:sz="4" w:space="0" w:color="auto"/>
            </w:tcBorders>
            <w:shd w:val="clear" w:color="auto" w:fill="auto"/>
          </w:tcPr>
          <w:p w14:paraId="57FD158E" w14:textId="77777777" w:rsidR="003801B9" w:rsidRPr="00DC3DC8" w:rsidRDefault="003801B9" w:rsidP="003801B9">
            <w:pPr>
              <w:tabs>
                <w:tab w:val="left" w:pos="5670"/>
              </w:tabs>
              <w:spacing w:after="0" w:line="240" w:lineRule="auto"/>
              <w:jc w:val="both"/>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2330DB9A"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246575D1"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6365A8B8"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4E0673DC"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689790AB"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1995D07B"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r>
      <w:tr w:rsidR="003801B9" w:rsidRPr="00DC3DC8" w14:paraId="70875815" w14:textId="77777777" w:rsidTr="0024223A">
        <w:trPr>
          <w:trHeight w:val="315"/>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2B982"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p>
        </w:tc>
        <w:tc>
          <w:tcPr>
            <w:tcW w:w="224" w:type="pct"/>
            <w:tcBorders>
              <w:top w:val="single" w:sz="4" w:space="0" w:color="auto"/>
              <w:left w:val="nil"/>
              <w:bottom w:val="single" w:sz="4" w:space="0" w:color="auto"/>
              <w:right w:val="single" w:sz="4" w:space="0" w:color="auto"/>
            </w:tcBorders>
            <w:shd w:val="clear" w:color="auto" w:fill="auto"/>
            <w:noWrap/>
            <w:vAlign w:val="bottom"/>
          </w:tcPr>
          <w:p w14:paraId="78939F0B" w14:textId="77777777" w:rsidR="003801B9" w:rsidRPr="00DC3DC8" w:rsidRDefault="003801B9" w:rsidP="003801B9">
            <w:pPr>
              <w:tabs>
                <w:tab w:val="left" w:pos="5670"/>
              </w:tabs>
              <w:spacing w:after="0" w:line="240" w:lineRule="auto"/>
              <w:jc w:val="both"/>
              <w:rPr>
                <w:rFonts w:ascii="Calibri" w:eastAsia="Times New Roman" w:hAnsi="Calibri" w:cs="Calibri"/>
                <w:b/>
                <w:bCs/>
                <w:sz w:val="18"/>
                <w:szCs w:val="18"/>
                <w:lang w:eastAsia="sl-SI"/>
              </w:rPr>
            </w:pPr>
          </w:p>
        </w:tc>
        <w:tc>
          <w:tcPr>
            <w:tcW w:w="300" w:type="pct"/>
            <w:tcBorders>
              <w:top w:val="single" w:sz="4" w:space="0" w:color="auto"/>
              <w:left w:val="nil"/>
              <w:bottom w:val="single" w:sz="4" w:space="0" w:color="auto"/>
              <w:right w:val="single" w:sz="4" w:space="0" w:color="auto"/>
            </w:tcBorders>
            <w:shd w:val="clear" w:color="auto" w:fill="auto"/>
          </w:tcPr>
          <w:p w14:paraId="52495BB6" w14:textId="77777777" w:rsidR="003801B9" w:rsidRPr="00DC3DC8" w:rsidRDefault="003801B9" w:rsidP="003801B9">
            <w:pPr>
              <w:tabs>
                <w:tab w:val="left" w:pos="5670"/>
              </w:tabs>
              <w:spacing w:after="0" w:line="240" w:lineRule="auto"/>
              <w:jc w:val="both"/>
              <w:rPr>
                <w:rFonts w:eastAsia="Times New Roman" w:cstheme="minorHAnsi"/>
                <w:sz w:val="18"/>
                <w:szCs w:val="18"/>
                <w:lang w:eastAsia="sl-SI"/>
              </w:rPr>
            </w:pPr>
            <w:r w:rsidRPr="00DC3DC8">
              <w:rPr>
                <w:rFonts w:eastAsia="Times New Roman" w:cstheme="minorHAnsi"/>
                <w:sz w:val="18"/>
                <w:szCs w:val="18"/>
                <w:lang w:eastAsia="sl-SI"/>
              </w:rPr>
              <w:t>065</w:t>
            </w:r>
          </w:p>
        </w:tc>
        <w:tc>
          <w:tcPr>
            <w:tcW w:w="901" w:type="pct"/>
            <w:gridSpan w:val="3"/>
            <w:tcBorders>
              <w:top w:val="single" w:sz="4" w:space="0" w:color="auto"/>
              <w:left w:val="nil"/>
              <w:bottom w:val="single" w:sz="4" w:space="0" w:color="auto"/>
              <w:right w:val="single" w:sz="4" w:space="0" w:color="auto"/>
            </w:tcBorders>
            <w:shd w:val="clear" w:color="auto" w:fill="auto"/>
          </w:tcPr>
          <w:p w14:paraId="6350328D" w14:textId="77777777" w:rsidR="003801B9" w:rsidRPr="00DC3DC8" w:rsidRDefault="003801B9" w:rsidP="003801B9">
            <w:pPr>
              <w:tabs>
                <w:tab w:val="left" w:pos="5670"/>
              </w:tabs>
              <w:spacing w:after="0" w:line="240" w:lineRule="auto"/>
              <w:jc w:val="both"/>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16B03879"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499" w:type="pct"/>
            <w:tcBorders>
              <w:top w:val="single" w:sz="4" w:space="0" w:color="auto"/>
              <w:left w:val="nil"/>
              <w:bottom w:val="single" w:sz="4" w:space="0" w:color="auto"/>
              <w:right w:val="single" w:sz="4" w:space="0" w:color="auto"/>
            </w:tcBorders>
            <w:shd w:val="clear" w:color="auto" w:fill="auto"/>
            <w:noWrap/>
            <w:vAlign w:val="center"/>
          </w:tcPr>
          <w:p w14:paraId="017326FE"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39AB981E"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06F7996F"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63C5F0CB"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X</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3BB381CD" w14:textId="77777777" w:rsidR="003801B9" w:rsidRPr="00DC3DC8" w:rsidRDefault="003801B9" w:rsidP="003801B9">
            <w:pPr>
              <w:tabs>
                <w:tab w:val="left" w:pos="5670"/>
              </w:tabs>
              <w:spacing w:after="0" w:line="240" w:lineRule="auto"/>
              <w:jc w:val="center"/>
              <w:rPr>
                <w:rFonts w:ascii="Calibri" w:eastAsia="Times New Roman" w:hAnsi="Calibri" w:cs="Calibri"/>
                <w:b/>
                <w:bCs/>
                <w:sz w:val="18"/>
                <w:szCs w:val="18"/>
                <w:lang w:eastAsia="sl-SI"/>
              </w:rPr>
            </w:pPr>
            <w:r w:rsidRPr="00DC3DC8">
              <w:rPr>
                <w:rFonts w:ascii="Calibri" w:eastAsia="Times New Roman" w:hAnsi="Calibri" w:cs="Calibri"/>
                <w:b/>
                <w:bCs/>
                <w:sz w:val="18"/>
                <w:szCs w:val="18"/>
                <w:lang w:eastAsia="sl-SI"/>
              </w:rPr>
              <w:t>X</w:t>
            </w:r>
          </w:p>
        </w:tc>
      </w:tr>
    </w:tbl>
    <w:p w14:paraId="134B09D4" w14:textId="77777777" w:rsidR="003801B9" w:rsidRPr="00DC3DC8" w:rsidRDefault="003801B9" w:rsidP="003801B9">
      <w:pPr>
        <w:tabs>
          <w:tab w:val="left" w:pos="5670"/>
        </w:tabs>
        <w:autoSpaceDE w:val="0"/>
        <w:autoSpaceDN w:val="0"/>
        <w:adjustRightInd w:val="0"/>
        <w:spacing w:after="0" w:line="240" w:lineRule="auto"/>
        <w:jc w:val="both"/>
        <w:rPr>
          <w:rFonts w:ascii="Calibri" w:eastAsia="Times New Roman" w:hAnsi="Calibri" w:cstheme="minorHAnsi"/>
          <w:b/>
          <w:bCs/>
          <w:lang w:eastAsia="sl-SI"/>
        </w:rPr>
      </w:pPr>
    </w:p>
    <w:p w14:paraId="40C4C895" w14:textId="6319A6C6" w:rsidR="003801B9" w:rsidRPr="00DC3DC8" w:rsidRDefault="003801B9" w:rsidP="00C53AD8">
      <w:pPr>
        <w:numPr>
          <w:ilvl w:val="0"/>
          <w:numId w:val="8"/>
        </w:numPr>
        <w:tabs>
          <w:tab w:val="left" w:pos="5670"/>
        </w:tabs>
        <w:spacing w:after="0" w:line="240" w:lineRule="auto"/>
        <w:ind w:left="357" w:hanging="357"/>
        <w:contextualSpacing/>
        <w:jc w:val="both"/>
        <w:rPr>
          <w:rFonts w:ascii="Calibri" w:eastAsia="Times New Roman" w:hAnsi="Calibri" w:cs="Calibri"/>
          <w:lang w:eastAsia="sl-SI"/>
        </w:rPr>
      </w:pPr>
      <w:r w:rsidRPr="00DC3DC8">
        <w:rPr>
          <w:rFonts w:ascii="Calibri" w:eastAsia="Calibri" w:hAnsi="Calibri" w:cs="Calibri"/>
          <w:lang w:eastAsia="sl-SI"/>
        </w:rPr>
        <w:t>povezovalni šifrant</w:t>
      </w:r>
      <w:r w:rsidRPr="00DC3DC8">
        <w:rPr>
          <w:rFonts w:ascii="Calibri" w:eastAsia="Calibri" w:hAnsi="Calibri" w:cs="Calibri"/>
          <w:color w:val="000000"/>
          <w:lang w:eastAsia="sl-SI"/>
        </w:rPr>
        <w:t xml:space="preserve"> </w:t>
      </w:r>
      <w:r w:rsidRPr="00DC3DC8">
        <w:rPr>
          <w:rFonts w:ascii="Calibri" w:eastAsia="Times New Roman" w:hAnsi="Calibri" w:cs="Calibri"/>
          <w:lang w:eastAsia="sl-SI"/>
        </w:rPr>
        <w:t>K40.1 »Nivo kontrole zaposlitev zdravstvenih delavcev po vrstah in podvrstah zdravstvene dejavnosti«:</w:t>
      </w:r>
    </w:p>
    <w:p w14:paraId="6A1FD963" w14:textId="77777777" w:rsidR="00C53AD8" w:rsidRPr="00DC3DC8" w:rsidRDefault="00C53AD8" w:rsidP="00C53AD8">
      <w:pPr>
        <w:tabs>
          <w:tab w:val="left" w:pos="5670"/>
        </w:tabs>
        <w:spacing w:after="0" w:line="240" w:lineRule="auto"/>
        <w:ind w:left="720"/>
        <w:contextualSpacing/>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0"/>
        <w:gridCol w:w="536"/>
        <w:gridCol w:w="3511"/>
        <w:gridCol w:w="3874"/>
      </w:tblGrid>
      <w:tr w:rsidR="003801B9" w:rsidRPr="00DC3DC8" w14:paraId="329D9370" w14:textId="77777777" w:rsidTr="0024223A">
        <w:trPr>
          <w:trHeight w:val="335"/>
        </w:trPr>
        <w:tc>
          <w:tcPr>
            <w:tcW w:w="501" w:type="pct"/>
            <w:shd w:val="clear" w:color="auto" w:fill="auto"/>
            <w:vAlign w:val="bottom"/>
          </w:tcPr>
          <w:p w14:paraId="584FC94E"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2439" w:type="pct"/>
            <w:gridSpan w:val="3"/>
            <w:shd w:val="clear" w:color="auto" w:fill="auto"/>
            <w:vAlign w:val="bottom"/>
          </w:tcPr>
          <w:p w14:paraId="07EA92A0" w14:textId="77777777" w:rsidR="003801B9" w:rsidRPr="00DC3DC8" w:rsidRDefault="003801B9" w:rsidP="003801B9">
            <w:pPr>
              <w:tabs>
                <w:tab w:val="left" w:pos="5670"/>
              </w:tabs>
              <w:spacing w:after="0" w:line="240" w:lineRule="auto"/>
              <w:jc w:val="both"/>
              <w:rPr>
                <w:rFonts w:ascii="Calibri" w:eastAsia="Times New Roman" w:hAnsi="Calibri" w:cs="Calibri"/>
                <w:sz w:val="18"/>
                <w:szCs w:val="18"/>
                <w:lang w:eastAsia="sl-SI"/>
              </w:rPr>
            </w:pPr>
          </w:p>
        </w:tc>
        <w:tc>
          <w:tcPr>
            <w:tcW w:w="2060" w:type="pct"/>
            <w:shd w:val="clear" w:color="auto" w:fill="auto"/>
            <w:vAlign w:val="center"/>
          </w:tcPr>
          <w:p w14:paraId="4D07BD12" w14:textId="77777777" w:rsidR="003801B9" w:rsidRPr="00DC3DC8" w:rsidRDefault="003801B9" w:rsidP="003801B9">
            <w:pPr>
              <w:tabs>
                <w:tab w:val="left" w:pos="5670"/>
              </w:tabs>
              <w:spacing w:after="0" w:line="240" w:lineRule="auto"/>
              <w:jc w:val="center"/>
              <w:rPr>
                <w:rFonts w:ascii="Calibri" w:eastAsia="Times New Roman" w:hAnsi="Calibri" w:cs="Calibri"/>
                <w:bCs/>
                <w:sz w:val="18"/>
                <w:szCs w:val="18"/>
                <w:lang w:eastAsia="sl-SI"/>
              </w:rPr>
            </w:pPr>
            <w:r w:rsidRPr="00DC3DC8">
              <w:rPr>
                <w:rFonts w:ascii="Calibri" w:eastAsia="Times New Roman" w:hAnsi="Calibri" w:cs="Calibri"/>
                <w:bCs/>
                <w:sz w:val="18"/>
                <w:szCs w:val="18"/>
                <w:lang w:eastAsia="sl-SI"/>
              </w:rPr>
              <w:t>"Nivo kontrole preverjanja zaposlitev:</w:t>
            </w:r>
          </w:p>
          <w:p w14:paraId="3CED372D" w14:textId="77777777" w:rsidR="003801B9" w:rsidRPr="00DC3DC8" w:rsidRDefault="003801B9" w:rsidP="003801B9">
            <w:pPr>
              <w:tabs>
                <w:tab w:val="left" w:pos="5670"/>
              </w:tabs>
              <w:spacing w:after="0" w:line="240" w:lineRule="auto"/>
              <w:jc w:val="center"/>
              <w:rPr>
                <w:rFonts w:ascii="Calibri" w:eastAsia="Times New Roman" w:hAnsi="Calibri" w:cs="Calibri"/>
                <w:bCs/>
                <w:sz w:val="18"/>
                <w:szCs w:val="18"/>
                <w:lang w:eastAsia="sl-SI"/>
              </w:rPr>
            </w:pPr>
            <w:r w:rsidRPr="00DC3DC8">
              <w:rPr>
                <w:rFonts w:ascii="Calibri" w:eastAsia="Times New Roman" w:hAnsi="Calibri" w:cs="Calibri"/>
                <w:bCs/>
                <w:sz w:val="18"/>
                <w:szCs w:val="18"/>
                <w:lang w:eastAsia="sl-SI"/>
              </w:rPr>
              <w:t>1 - Zaposlitev v okviru pogodbenega izvajalca oz. izvajalca nacionalnega razpisa,</w:t>
            </w:r>
          </w:p>
          <w:p w14:paraId="736A98CE" w14:textId="77777777" w:rsidR="003801B9" w:rsidRPr="00DC3DC8" w:rsidRDefault="003801B9" w:rsidP="003801B9">
            <w:pPr>
              <w:tabs>
                <w:tab w:val="left" w:pos="5670"/>
              </w:tabs>
              <w:spacing w:after="0" w:line="240" w:lineRule="auto"/>
              <w:jc w:val="center"/>
              <w:rPr>
                <w:rFonts w:ascii="Calibri" w:eastAsia="Times New Roman" w:hAnsi="Calibri" w:cs="Calibri"/>
                <w:bCs/>
                <w:sz w:val="18"/>
                <w:szCs w:val="18"/>
                <w:lang w:eastAsia="sl-SI"/>
              </w:rPr>
            </w:pPr>
            <w:r w:rsidRPr="00DC3DC8">
              <w:rPr>
                <w:rFonts w:ascii="Calibri" w:eastAsia="Times New Roman" w:hAnsi="Calibri" w:cs="Calibri"/>
                <w:bCs/>
                <w:sz w:val="18"/>
                <w:szCs w:val="18"/>
                <w:lang w:eastAsia="sl-SI"/>
              </w:rPr>
              <w:t>2 - Zaposlitev v okviru pogodbenega izvajalca oz. izvajalca nacionalnega razpisa glede na skupine zaposlitev zdravstvenih delavcev,</w:t>
            </w:r>
          </w:p>
          <w:p w14:paraId="5B750069" w14:textId="77777777" w:rsidR="003801B9" w:rsidRPr="00DC3DC8" w:rsidRDefault="003801B9" w:rsidP="003801B9">
            <w:pPr>
              <w:tabs>
                <w:tab w:val="left" w:pos="5670"/>
              </w:tabs>
              <w:spacing w:after="0" w:line="240" w:lineRule="auto"/>
              <w:jc w:val="center"/>
              <w:rPr>
                <w:rFonts w:ascii="Calibri" w:eastAsia="Times New Roman" w:hAnsi="Calibri" w:cs="Calibri"/>
                <w:bCs/>
                <w:sz w:val="18"/>
                <w:szCs w:val="18"/>
                <w:lang w:eastAsia="sl-SI"/>
              </w:rPr>
            </w:pPr>
            <w:r w:rsidRPr="00DC3DC8">
              <w:rPr>
                <w:rFonts w:ascii="Calibri" w:eastAsia="Times New Roman" w:hAnsi="Calibri" w:cs="Calibri"/>
                <w:bCs/>
                <w:sz w:val="18"/>
                <w:szCs w:val="18"/>
                <w:lang w:eastAsia="sl-SI"/>
              </w:rPr>
              <w:t>9 - Zaposlitev se ne preverja."</w:t>
            </w:r>
          </w:p>
        </w:tc>
      </w:tr>
      <w:tr w:rsidR="003801B9" w:rsidRPr="00DC3DC8" w14:paraId="56778AE3" w14:textId="77777777" w:rsidTr="0024223A">
        <w:trPr>
          <w:trHeight w:val="257"/>
        </w:trPr>
        <w:tc>
          <w:tcPr>
            <w:tcW w:w="501" w:type="pct"/>
            <w:shd w:val="clear" w:color="auto" w:fill="auto"/>
            <w:vAlign w:val="bottom"/>
          </w:tcPr>
          <w:p w14:paraId="622DFA9D"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Q86.210</w:t>
            </w:r>
          </w:p>
        </w:tc>
        <w:tc>
          <w:tcPr>
            <w:tcW w:w="2439" w:type="pct"/>
            <w:gridSpan w:val="3"/>
            <w:shd w:val="clear" w:color="auto" w:fill="auto"/>
            <w:vAlign w:val="bottom"/>
          </w:tcPr>
          <w:p w14:paraId="18F44B74"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Splošna zunajbolnišnična zdravstvena dejavnost</w:t>
            </w:r>
          </w:p>
        </w:tc>
        <w:tc>
          <w:tcPr>
            <w:tcW w:w="2060" w:type="pct"/>
            <w:shd w:val="clear" w:color="auto" w:fill="auto"/>
            <w:vAlign w:val="bottom"/>
          </w:tcPr>
          <w:p w14:paraId="6EFF62A0"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r>
      <w:tr w:rsidR="003801B9" w:rsidRPr="00DC3DC8" w14:paraId="4461E014" w14:textId="77777777" w:rsidTr="0024223A">
        <w:tc>
          <w:tcPr>
            <w:tcW w:w="501" w:type="pct"/>
            <w:shd w:val="clear" w:color="auto" w:fill="auto"/>
            <w:vAlign w:val="bottom"/>
          </w:tcPr>
          <w:p w14:paraId="4317FC8F"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vAlign w:val="center"/>
          </w:tcPr>
          <w:p w14:paraId="0A40C87A"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302</w:t>
            </w:r>
          </w:p>
        </w:tc>
        <w:tc>
          <w:tcPr>
            <w:tcW w:w="2151" w:type="pct"/>
            <w:gridSpan w:val="2"/>
            <w:shd w:val="clear" w:color="auto" w:fill="auto"/>
            <w:vAlign w:val="center"/>
          </w:tcPr>
          <w:p w14:paraId="7257B195"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ascii="Calibri" w:eastAsia="Times New Roman" w:hAnsi="Calibri" w:cs="Calibri"/>
                <w:sz w:val="20"/>
                <w:szCs w:val="20"/>
                <w:lang w:eastAsia="sl-SI"/>
              </w:rPr>
              <w:t>Splošna in družinska medicina v splošni zunajbolnišnični dejavnosti</w:t>
            </w:r>
          </w:p>
        </w:tc>
        <w:tc>
          <w:tcPr>
            <w:tcW w:w="2060" w:type="pct"/>
            <w:shd w:val="clear" w:color="auto" w:fill="auto"/>
            <w:vAlign w:val="bottom"/>
          </w:tcPr>
          <w:p w14:paraId="294482FD"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r>
      <w:tr w:rsidR="003801B9" w:rsidRPr="00DC3DC8" w14:paraId="6B83E308" w14:textId="77777777" w:rsidTr="0024223A">
        <w:tc>
          <w:tcPr>
            <w:tcW w:w="501" w:type="pct"/>
            <w:shd w:val="clear" w:color="auto" w:fill="auto"/>
            <w:vAlign w:val="bottom"/>
          </w:tcPr>
          <w:p w14:paraId="79DE33A2"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vAlign w:val="bottom"/>
          </w:tcPr>
          <w:p w14:paraId="5C6FBBEB"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5" w:type="pct"/>
            <w:shd w:val="clear" w:color="auto" w:fill="auto"/>
          </w:tcPr>
          <w:p w14:paraId="45892021" w14:textId="77777777" w:rsidR="003801B9" w:rsidRPr="00DC3DC8" w:rsidRDefault="003801B9" w:rsidP="003801B9">
            <w:pPr>
              <w:tabs>
                <w:tab w:val="left" w:pos="5670"/>
              </w:tabs>
              <w:spacing w:after="0" w:line="240" w:lineRule="auto"/>
              <w:jc w:val="right"/>
              <w:rPr>
                <w:rFonts w:ascii="Calibri" w:eastAsia="Times New Roman" w:hAnsi="Calibri" w:cs="Calibri"/>
                <w:b/>
                <w:bCs/>
                <w:sz w:val="20"/>
                <w:szCs w:val="20"/>
                <w:lang w:eastAsia="sl-SI"/>
              </w:rPr>
            </w:pPr>
            <w:r w:rsidRPr="00DC3DC8">
              <w:rPr>
                <w:rFonts w:eastAsia="Times New Roman" w:cstheme="minorHAnsi"/>
                <w:sz w:val="18"/>
                <w:szCs w:val="18"/>
                <w:lang w:eastAsia="sl-SI"/>
              </w:rPr>
              <w:t>064</w:t>
            </w:r>
          </w:p>
        </w:tc>
        <w:tc>
          <w:tcPr>
            <w:tcW w:w="1867" w:type="pct"/>
            <w:shd w:val="clear" w:color="auto" w:fill="auto"/>
          </w:tcPr>
          <w:p w14:paraId="38A27232" w14:textId="77777777" w:rsidR="003801B9" w:rsidRPr="00DC3DC8" w:rsidRDefault="003801B9" w:rsidP="003801B9">
            <w:pPr>
              <w:tabs>
                <w:tab w:val="left" w:pos="5670"/>
              </w:tabs>
              <w:spacing w:after="0" w:line="240" w:lineRule="auto"/>
              <w:jc w:val="both"/>
              <w:rPr>
                <w:rFonts w:ascii="Calibri" w:eastAsia="Times New Roman" w:hAnsi="Calibri" w:cs="Calibri"/>
                <w:b/>
                <w:bCs/>
                <w:sz w:val="20"/>
                <w:szCs w:val="20"/>
                <w:lang w:eastAsia="sl-SI"/>
              </w:rPr>
            </w:pPr>
            <w:r w:rsidRPr="00DC3DC8">
              <w:rPr>
                <w:rFonts w:eastAsia="Times New Roman" w:cstheme="minorHAnsi"/>
                <w:sz w:val="18"/>
                <w:szCs w:val="18"/>
                <w:lang w:eastAsia="sl-SI"/>
              </w:rPr>
              <w:t>Splošne ambulante za boljšo dostopnost do IOZ</w:t>
            </w:r>
          </w:p>
        </w:tc>
        <w:tc>
          <w:tcPr>
            <w:tcW w:w="2060" w:type="pct"/>
            <w:shd w:val="clear" w:color="auto" w:fill="auto"/>
            <w:vAlign w:val="center"/>
          </w:tcPr>
          <w:p w14:paraId="4B03CAB2" w14:textId="77777777" w:rsidR="003801B9" w:rsidRPr="00DC3DC8" w:rsidRDefault="003801B9" w:rsidP="003801B9">
            <w:pPr>
              <w:tabs>
                <w:tab w:val="left" w:pos="5670"/>
              </w:tabs>
              <w:spacing w:after="0" w:line="240" w:lineRule="auto"/>
              <w:jc w:val="center"/>
              <w:rPr>
                <w:rFonts w:ascii="Calibri" w:eastAsia="Times New Roman" w:hAnsi="Calibri" w:cs="Calibri"/>
                <w:b/>
                <w:bCs/>
                <w:sz w:val="20"/>
                <w:szCs w:val="20"/>
                <w:lang w:eastAsia="sl-SI"/>
              </w:rPr>
            </w:pPr>
            <w:r w:rsidRPr="00DC3DC8">
              <w:rPr>
                <w:rFonts w:ascii="Calibri" w:eastAsia="Times New Roman" w:hAnsi="Calibri" w:cs="Calibri"/>
                <w:strike/>
                <w:sz w:val="20"/>
                <w:szCs w:val="20"/>
                <w:lang w:eastAsia="sl-SI"/>
              </w:rPr>
              <w:t>9</w:t>
            </w:r>
            <w:r w:rsidRPr="00DC3DC8">
              <w:rPr>
                <w:rFonts w:ascii="Calibri" w:eastAsia="Times New Roman" w:hAnsi="Calibri" w:cs="Calibri"/>
                <w:b/>
                <w:bCs/>
                <w:sz w:val="20"/>
                <w:szCs w:val="20"/>
                <w:lang w:eastAsia="sl-SI"/>
              </w:rPr>
              <w:t xml:space="preserve">  2</w:t>
            </w:r>
          </w:p>
        </w:tc>
      </w:tr>
      <w:tr w:rsidR="003801B9" w:rsidRPr="00DC3DC8" w14:paraId="6C0A2C76" w14:textId="77777777" w:rsidTr="0024223A">
        <w:tc>
          <w:tcPr>
            <w:tcW w:w="501" w:type="pct"/>
            <w:shd w:val="clear" w:color="auto" w:fill="auto"/>
            <w:vAlign w:val="bottom"/>
          </w:tcPr>
          <w:p w14:paraId="3DA997FA"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tcPr>
          <w:p w14:paraId="2E382538"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r w:rsidRPr="00DC3DC8">
              <w:rPr>
                <w:rFonts w:eastAsia="Times New Roman" w:cstheme="minorHAnsi"/>
                <w:sz w:val="18"/>
                <w:szCs w:val="18"/>
                <w:lang w:eastAsia="sl-SI"/>
              </w:rPr>
              <w:t>327</w:t>
            </w:r>
          </w:p>
        </w:tc>
        <w:tc>
          <w:tcPr>
            <w:tcW w:w="2151" w:type="pct"/>
            <w:gridSpan w:val="2"/>
            <w:shd w:val="clear" w:color="auto" w:fill="auto"/>
          </w:tcPr>
          <w:p w14:paraId="3AF88F30" w14:textId="77777777" w:rsidR="003801B9" w:rsidRPr="00DC3DC8" w:rsidRDefault="003801B9" w:rsidP="003801B9">
            <w:pPr>
              <w:tabs>
                <w:tab w:val="left" w:pos="5670"/>
              </w:tabs>
              <w:spacing w:after="0" w:line="240" w:lineRule="auto"/>
              <w:jc w:val="both"/>
              <w:rPr>
                <w:rFonts w:eastAsia="Times New Roman" w:cstheme="minorHAnsi"/>
                <w:sz w:val="18"/>
                <w:szCs w:val="18"/>
                <w:lang w:eastAsia="sl-SI"/>
              </w:rPr>
            </w:pPr>
            <w:r w:rsidRPr="00DC3DC8">
              <w:rPr>
                <w:rFonts w:eastAsia="Times New Roman" w:cstheme="minorHAnsi"/>
                <w:sz w:val="18"/>
                <w:szCs w:val="18"/>
                <w:lang w:eastAsia="sl-SI"/>
              </w:rPr>
              <w:t>Pediatrija v splošni zunajbolnišnični dejavnosti</w:t>
            </w:r>
          </w:p>
        </w:tc>
        <w:tc>
          <w:tcPr>
            <w:tcW w:w="2060" w:type="pct"/>
            <w:shd w:val="clear" w:color="auto" w:fill="auto"/>
            <w:vAlign w:val="center"/>
          </w:tcPr>
          <w:p w14:paraId="6C9A06F7" w14:textId="77777777" w:rsidR="003801B9" w:rsidRPr="00DC3DC8" w:rsidRDefault="003801B9" w:rsidP="003801B9">
            <w:pPr>
              <w:tabs>
                <w:tab w:val="left" w:pos="5670"/>
              </w:tabs>
              <w:spacing w:after="0" w:line="240" w:lineRule="auto"/>
              <w:jc w:val="center"/>
              <w:rPr>
                <w:rFonts w:ascii="Calibri" w:eastAsia="Times New Roman" w:hAnsi="Calibri" w:cs="Calibri"/>
                <w:strike/>
                <w:sz w:val="20"/>
                <w:szCs w:val="20"/>
                <w:lang w:eastAsia="sl-SI"/>
              </w:rPr>
            </w:pPr>
          </w:p>
        </w:tc>
      </w:tr>
      <w:tr w:rsidR="003801B9" w:rsidRPr="00DC3DC8" w14:paraId="6511AA7D" w14:textId="77777777" w:rsidTr="0024223A">
        <w:tc>
          <w:tcPr>
            <w:tcW w:w="501" w:type="pct"/>
            <w:shd w:val="clear" w:color="auto" w:fill="auto"/>
            <w:vAlign w:val="bottom"/>
          </w:tcPr>
          <w:p w14:paraId="5D589916"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7" w:type="pct"/>
            <w:shd w:val="clear" w:color="auto" w:fill="auto"/>
            <w:vAlign w:val="bottom"/>
          </w:tcPr>
          <w:p w14:paraId="2AF5C253" w14:textId="77777777" w:rsidR="003801B9" w:rsidRPr="00DC3DC8" w:rsidRDefault="003801B9" w:rsidP="003801B9">
            <w:pPr>
              <w:tabs>
                <w:tab w:val="left" w:pos="5670"/>
              </w:tabs>
              <w:spacing w:after="0" w:line="240" w:lineRule="auto"/>
              <w:jc w:val="both"/>
              <w:rPr>
                <w:rFonts w:ascii="Calibri" w:eastAsia="Times New Roman" w:hAnsi="Calibri" w:cs="Calibri"/>
                <w:sz w:val="20"/>
                <w:szCs w:val="20"/>
                <w:lang w:eastAsia="sl-SI"/>
              </w:rPr>
            </w:pPr>
          </w:p>
        </w:tc>
        <w:tc>
          <w:tcPr>
            <w:tcW w:w="285" w:type="pct"/>
            <w:shd w:val="clear" w:color="auto" w:fill="auto"/>
          </w:tcPr>
          <w:p w14:paraId="312CC21F" w14:textId="77777777" w:rsidR="003801B9" w:rsidRPr="00DC3DC8" w:rsidRDefault="003801B9" w:rsidP="003801B9">
            <w:pPr>
              <w:tabs>
                <w:tab w:val="left" w:pos="5670"/>
              </w:tabs>
              <w:spacing w:after="0" w:line="240" w:lineRule="auto"/>
              <w:jc w:val="right"/>
              <w:rPr>
                <w:rFonts w:eastAsia="Times New Roman" w:cstheme="minorHAnsi"/>
                <w:sz w:val="18"/>
                <w:szCs w:val="18"/>
                <w:lang w:eastAsia="sl-SI"/>
              </w:rPr>
            </w:pPr>
            <w:r w:rsidRPr="00DC3DC8">
              <w:rPr>
                <w:rFonts w:eastAsia="Times New Roman" w:cstheme="minorHAnsi"/>
                <w:sz w:val="18"/>
                <w:szCs w:val="18"/>
                <w:lang w:eastAsia="sl-SI"/>
              </w:rPr>
              <w:t>065</w:t>
            </w:r>
          </w:p>
        </w:tc>
        <w:tc>
          <w:tcPr>
            <w:tcW w:w="1867" w:type="pct"/>
            <w:shd w:val="clear" w:color="auto" w:fill="auto"/>
          </w:tcPr>
          <w:p w14:paraId="1D1FDC2E" w14:textId="77777777" w:rsidR="003801B9" w:rsidRPr="00DC3DC8" w:rsidRDefault="003801B9" w:rsidP="003801B9">
            <w:pPr>
              <w:tabs>
                <w:tab w:val="left" w:pos="5670"/>
              </w:tabs>
              <w:spacing w:after="0" w:line="240" w:lineRule="auto"/>
              <w:jc w:val="both"/>
              <w:rPr>
                <w:rFonts w:eastAsia="Times New Roman" w:cstheme="minorHAnsi"/>
                <w:sz w:val="18"/>
                <w:szCs w:val="18"/>
                <w:lang w:eastAsia="sl-SI"/>
              </w:rPr>
            </w:pPr>
            <w:r w:rsidRPr="00DC3DC8">
              <w:rPr>
                <w:rFonts w:eastAsia="Times New Roman" w:cstheme="minorHAnsi"/>
                <w:sz w:val="18"/>
                <w:szCs w:val="18"/>
                <w:lang w:eastAsia="sl-SI"/>
              </w:rPr>
              <w:t>Otroški in šolski dispanzer za boljšo dostopnost do IOZ</w:t>
            </w:r>
          </w:p>
        </w:tc>
        <w:tc>
          <w:tcPr>
            <w:tcW w:w="2060" w:type="pct"/>
            <w:shd w:val="clear" w:color="auto" w:fill="auto"/>
            <w:vAlign w:val="center"/>
          </w:tcPr>
          <w:p w14:paraId="6A4E9E09" w14:textId="77777777" w:rsidR="003801B9" w:rsidRPr="00DC3DC8" w:rsidRDefault="003801B9" w:rsidP="003801B9">
            <w:pPr>
              <w:tabs>
                <w:tab w:val="left" w:pos="5670"/>
              </w:tabs>
              <w:spacing w:after="0" w:line="240" w:lineRule="auto"/>
              <w:jc w:val="center"/>
              <w:rPr>
                <w:rFonts w:ascii="Calibri" w:eastAsia="Times New Roman" w:hAnsi="Calibri" w:cs="Calibri"/>
                <w:strike/>
                <w:sz w:val="20"/>
                <w:szCs w:val="20"/>
                <w:lang w:eastAsia="sl-SI"/>
              </w:rPr>
            </w:pPr>
            <w:r w:rsidRPr="00DC3DC8">
              <w:rPr>
                <w:rFonts w:ascii="Calibri" w:eastAsia="Times New Roman" w:hAnsi="Calibri" w:cs="Calibri"/>
                <w:strike/>
                <w:sz w:val="20"/>
                <w:szCs w:val="20"/>
                <w:lang w:eastAsia="sl-SI"/>
              </w:rPr>
              <w:t>9</w:t>
            </w:r>
            <w:r w:rsidRPr="00DC3DC8">
              <w:rPr>
                <w:rFonts w:ascii="Calibri" w:eastAsia="Times New Roman" w:hAnsi="Calibri" w:cs="Calibri"/>
                <w:b/>
                <w:bCs/>
                <w:sz w:val="20"/>
                <w:szCs w:val="20"/>
                <w:lang w:eastAsia="sl-SI"/>
              </w:rPr>
              <w:t xml:space="preserve">  2</w:t>
            </w:r>
          </w:p>
        </w:tc>
      </w:tr>
    </w:tbl>
    <w:p w14:paraId="71C67AD6" w14:textId="77777777" w:rsidR="003801B9" w:rsidRPr="00DC3DC8" w:rsidRDefault="003801B9" w:rsidP="003801B9">
      <w:pPr>
        <w:tabs>
          <w:tab w:val="left" w:pos="5670"/>
        </w:tabs>
        <w:autoSpaceDE w:val="0"/>
        <w:autoSpaceDN w:val="0"/>
        <w:adjustRightInd w:val="0"/>
        <w:spacing w:after="0" w:line="240" w:lineRule="auto"/>
        <w:jc w:val="both"/>
        <w:rPr>
          <w:rFonts w:ascii="Calibri" w:eastAsia="Times New Roman" w:hAnsi="Calibri" w:cstheme="minorHAnsi"/>
          <w:lang w:eastAsia="sl-SI"/>
        </w:rPr>
      </w:pPr>
    </w:p>
    <w:p w14:paraId="6663667D" w14:textId="77777777" w:rsidR="003801B9" w:rsidRPr="00DC3DC8" w:rsidRDefault="003801B9" w:rsidP="003801B9">
      <w:pPr>
        <w:tabs>
          <w:tab w:val="left" w:pos="5670"/>
        </w:tabs>
        <w:autoSpaceDE w:val="0"/>
        <w:autoSpaceDN w:val="0"/>
        <w:adjustRightInd w:val="0"/>
        <w:spacing w:after="0" w:line="240" w:lineRule="auto"/>
        <w:jc w:val="both"/>
        <w:rPr>
          <w:rFonts w:ascii="Calibri" w:eastAsia="Calibri" w:hAnsi="Calibri" w:cs="Times New Roman"/>
        </w:rPr>
      </w:pPr>
    </w:p>
    <w:p w14:paraId="1312501D" w14:textId="3D33B8E1" w:rsidR="003801B9" w:rsidRPr="00DC3DC8" w:rsidRDefault="003801B9" w:rsidP="00C53AD8">
      <w:pPr>
        <w:numPr>
          <w:ilvl w:val="0"/>
          <w:numId w:val="8"/>
        </w:numPr>
        <w:tabs>
          <w:tab w:val="left" w:pos="5670"/>
        </w:tabs>
        <w:autoSpaceDE w:val="0"/>
        <w:autoSpaceDN w:val="0"/>
        <w:adjustRightInd w:val="0"/>
        <w:spacing w:after="0" w:line="240" w:lineRule="auto"/>
        <w:ind w:left="357" w:hanging="357"/>
        <w:contextualSpacing/>
        <w:jc w:val="both"/>
        <w:rPr>
          <w:rFonts w:ascii="Calibri" w:eastAsia="Calibri" w:hAnsi="Calibri" w:cs="Times New Roman"/>
        </w:rPr>
      </w:pPr>
      <w:r w:rsidRPr="00DC3DC8">
        <w:rPr>
          <w:rFonts w:ascii="Calibri" w:eastAsia="Calibri" w:hAnsi="Calibri" w:cs="Times New Roman"/>
        </w:rPr>
        <w:t>v povezovalnem šifrantu K14.1 »Izključujoče in soodvisne storitve v okviru ene obravnave z vključenimi pravili obračunavanja« dejavnosti 302 064 in 327 065 dodajamo v kontrolo ROB 0372 sklop 1.</w:t>
      </w:r>
    </w:p>
    <w:p w14:paraId="2EF548B0" w14:textId="77777777" w:rsidR="006462F7" w:rsidRPr="00DC3DC8" w:rsidRDefault="006462F7" w:rsidP="003801B9">
      <w:pPr>
        <w:autoSpaceDE w:val="0"/>
        <w:autoSpaceDN w:val="0"/>
        <w:adjustRightInd w:val="0"/>
        <w:spacing w:after="0" w:line="240" w:lineRule="auto"/>
        <w:jc w:val="both"/>
        <w:rPr>
          <w:rFonts w:ascii="Calibri" w:eastAsia="Times New Roman" w:hAnsi="Calibri" w:cs="Arial"/>
          <w:lang w:eastAsia="sl-SI"/>
        </w:rPr>
      </w:pPr>
    </w:p>
    <w:p w14:paraId="40983004" w14:textId="7CC50F9F" w:rsidR="003801B9" w:rsidRPr="00DC3DC8" w:rsidRDefault="003801B9" w:rsidP="003801B9">
      <w:pPr>
        <w:autoSpaceDE w:val="0"/>
        <w:autoSpaceDN w:val="0"/>
        <w:adjustRightInd w:val="0"/>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Spremembe veljajo za storitve, opravljene od 1. 3. 2023 dalje.</w:t>
      </w:r>
    </w:p>
    <w:p w14:paraId="2976EE3C" w14:textId="77777777" w:rsidR="003801B9" w:rsidRPr="00DC3DC8" w:rsidRDefault="003801B9" w:rsidP="003801B9">
      <w:pPr>
        <w:autoSpaceDE w:val="0"/>
        <w:autoSpaceDN w:val="0"/>
        <w:adjustRightInd w:val="0"/>
        <w:spacing w:after="0" w:line="240" w:lineRule="auto"/>
        <w:jc w:val="both"/>
        <w:rPr>
          <w:rFonts w:ascii="Calibri" w:eastAsia="Times New Roman" w:hAnsi="Calibri" w:cs="Arial"/>
          <w:lang w:eastAsia="sl-SI"/>
        </w:rPr>
      </w:pPr>
    </w:p>
    <w:p w14:paraId="529E3309" w14:textId="77777777" w:rsidR="003801B9" w:rsidRPr="00DC3DC8" w:rsidRDefault="003801B9" w:rsidP="003801B9">
      <w:pPr>
        <w:widowControl w:val="0"/>
        <w:suppressAutoHyphens/>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Kontaktna oseba za vsebinska vprašanja:</w:t>
      </w:r>
    </w:p>
    <w:p w14:paraId="1A18C5CD" w14:textId="77777777" w:rsidR="003801B9" w:rsidRPr="00DC3DC8" w:rsidRDefault="003801B9" w:rsidP="003801B9">
      <w:pPr>
        <w:tabs>
          <w:tab w:val="left" w:pos="5670"/>
        </w:tabs>
        <w:autoSpaceDE w:val="0"/>
        <w:autoSpaceDN w:val="0"/>
        <w:adjustRightInd w:val="0"/>
        <w:spacing w:after="0" w:line="240" w:lineRule="auto"/>
        <w:jc w:val="both"/>
        <w:rPr>
          <w:rFonts w:ascii="Calibri" w:eastAsia="Calibri" w:hAnsi="Calibri" w:cstheme="minorHAnsi"/>
          <w:color w:val="000000"/>
        </w:rPr>
      </w:pPr>
      <w:bookmarkStart w:id="14" w:name="_Hlk123196721"/>
      <w:r w:rsidRPr="00DC3DC8">
        <w:rPr>
          <w:rFonts w:ascii="Calibri" w:eastAsia="Calibri" w:hAnsi="Calibri" w:cstheme="minorHAnsi"/>
          <w:color w:val="000000"/>
        </w:rPr>
        <w:t>Jerneja Bergant (</w:t>
      </w:r>
      <w:r w:rsidRPr="00DC3DC8">
        <w:rPr>
          <w:rFonts w:ascii="Calibri" w:eastAsia="Times New Roman" w:hAnsi="Calibri" w:cstheme="minorHAnsi"/>
          <w:noProof/>
          <w:color w:val="0000FF"/>
          <w:u w:val="single"/>
        </w:rPr>
        <w:t>jerneja.bergant@zzzs.si</w:t>
      </w:r>
      <w:r w:rsidRPr="00DC3DC8">
        <w:rPr>
          <w:rFonts w:ascii="Calibri" w:eastAsia="Calibri" w:hAnsi="Calibri" w:cstheme="minorHAnsi"/>
          <w:color w:val="000000"/>
        </w:rPr>
        <w:t>; 01/30-77-573)</w:t>
      </w:r>
    </w:p>
    <w:bookmarkEnd w:id="14"/>
    <w:p w14:paraId="436901AB" w14:textId="77777777" w:rsidR="003801B9" w:rsidRPr="00DC3DC8" w:rsidRDefault="003801B9" w:rsidP="003801B9">
      <w:pPr>
        <w:tabs>
          <w:tab w:val="left" w:pos="5670"/>
        </w:tabs>
        <w:spacing w:after="0" w:line="240" w:lineRule="exact"/>
        <w:jc w:val="both"/>
        <w:rPr>
          <w:rFonts w:ascii="Calibri" w:eastAsia="Calibri" w:hAnsi="Calibri" w:cs="Times New Roman"/>
        </w:rPr>
      </w:pPr>
    </w:p>
    <w:p w14:paraId="26CACAAE" w14:textId="77777777" w:rsidR="003801B9" w:rsidRPr="00DC3DC8" w:rsidRDefault="003801B9" w:rsidP="00037C2D">
      <w:pPr>
        <w:spacing w:after="0" w:line="240" w:lineRule="auto"/>
        <w:jc w:val="both"/>
        <w:rPr>
          <w:rFonts w:ascii="Calibri" w:eastAsia="Times New Roman" w:hAnsi="Calibri" w:cs="Calibri"/>
        </w:rPr>
      </w:pPr>
    </w:p>
    <w:p w14:paraId="2EEDE4D6" w14:textId="60D6143F" w:rsidR="00EE1784" w:rsidRPr="00DC3DC8" w:rsidRDefault="00EE1784" w:rsidP="00037C2D">
      <w:pPr>
        <w:spacing w:after="0" w:line="240" w:lineRule="auto"/>
        <w:jc w:val="both"/>
        <w:rPr>
          <w:rFonts w:ascii="Calibri" w:eastAsia="Times New Roman" w:hAnsi="Calibri" w:cs="Calibri"/>
        </w:rPr>
      </w:pPr>
    </w:p>
    <w:p w14:paraId="0FD3AAE7" w14:textId="4650169E" w:rsidR="008E38A4" w:rsidRPr="00DC3DC8" w:rsidRDefault="008E38A4" w:rsidP="00037C2D">
      <w:pPr>
        <w:spacing w:after="0" w:line="240" w:lineRule="auto"/>
        <w:jc w:val="both"/>
        <w:rPr>
          <w:rFonts w:ascii="Calibri" w:eastAsia="Times New Roman" w:hAnsi="Calibri" w:cs="Calibri"/>
        </w:rPr>
      </w:pPr>
    </w:p>
    <w:p w14:paraId="760A6DA2" w14:textId="77777777" w:rsidR="008E38A4" w:rsidRPr="00DC3DC8" w:rsidRDefault="008E38A4" w:rsidP="00037C2D">
      <w:pPr>
        <w:spacing w:after="0" w:line="240" w:lineRule="auto"/>
        <w:jc w:val="both"/>
        <w:rPr>
          <w:rFonts w:ascii="Calibri" w:eastAsia="Times New Roman" w:hAnsi="Calibri" w:cs="Calibri"/>
        </w:rPr>
      </w:pPr>
    </w:p>
    <w:p w14:paraId="12617183" w14:textId="6F1B766F" w:rsidR="00EE1784" w:rsidRPr="00DC3DC8" w:rsidRDefault="00EE1784" w:rsidP="00EE178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5" w:name="_Toc125701146"/>
      <w:r w:rsidRPr="00DC3DC8">
        <w:rPr>
          <w:rFonts w:ascii="Calibri" w:eastAsia="Times New Roman" w:hAnsi="Calibri" w:cs="Calibri"/>
          <w:b/>
          <w:color w:val="0070C0"/>
          <w:sz w:val="28"/>
          <w:szCs w:val="28"/>
        </w:rPr>
        <w:lastRenderedPageBreak/>
        <w:t>Dodatek za brezšivno skrb v bolnišnični obravnavi (BS)</w:t>
      </w:r>
      <w:bookmarkEnd w:id="15"/>
    </w:p>
    <w:p w14:paraId="3AB39ED5" w14:textId="77777777" w:rsidR="00EE1784" w:rsidRPr="00DC3DC8" w:rsidRDefault="00EE1784" w:rsidP="00EE1784">
      <w:pPr>
        <w:autoSpaceDE w:val="0"/>
        <w:autoSpaceDN w:val="0"/>
        <w:adjustRightInd w:val="0"/>
        <w:spacing w:after="0" w:line="240" w:lineRule="auto"/>
        <w:jc w:val="both"/>
        <w:rPr>
          <w:rFonts w:ascii="Calibri" w:eastAsia="Times New Roman" w:hAnsi="Calibri" w:cs="Arial"/>
          <w:i/>
          <w:color w:val="0070C0"/>
          <w:lang w:eastAsia="sl-SI"/>
        </w:rPr>
      </w:pPr>
    </w:p>
    <w:p w14:paraId="64841B33" w14:textId="77777777" w:rsidR="00A4122A" w:rsidRPr="00DC3DC8" w:rsidRDefault="00A4122A" w:rsidP="00A4122A">
      <w:pPr>
        <w:autoSpaceDE w:val="0"/>
        <w:autoSpaceDN w:val="0"/>
        <w:adjustRightInd w:val="0"/>
        <w:spacing w:after="0" w:line="240" w:lineRule="auto"/>
        <w:jc w:val="both"/>
        <w:rPr>
          <w:rFonts w:ascii="Calibri" w:eastAsia="Times New Roman" w:hAnsi="Calibri" w:cs="Arial"/>
          <w:i/>
          <w:color w:val="0070C0"/>
          <w:lang w:eastAsia="sl-SI"/>
        </w:rPr>
      </w:pPr>
      <w:r w:rsidRPr="00DC3DC8">
        <w:rPr>
          <w:rFonts w:ascii="Calibri" w:eastAsia="Times New Roman" w:hAnsi="Calibri" w:cs="Arial"/>
          <w:i/>
          <w:color w:val="0070C0"/>
          <w:lang w:eastAsia="sl-SI"/>
        </w:rPr>
        <w:t xml:space="preserve">Vsem izvajalcem akutne bolnišnične obravnave: SPP, rehabilitacija Uri Soča in psihiatrija </w:t>
      </w:r>
    </w:p>
    <w:p w14:paraId="3B14529D" w14:textId="77777777" w:rsidR="00A4122A" w:rsidRPr="00DC3DC8" w:rsidRDefault="00A4122A" w:rsidP="00A4122A">
      <w:pPr>
        <w:autoSpaceDE w:val="0"/>
        <w:autoSpaceDN w:val="0"/>
        <w:adjustRightInd w:val="0"/>
        <w:spacing w:after="0" w:line="240" w:lineRule="auto"/>
        <w:jc w:val="both"/>
        <w:rPr>
          <w:rFonts w:ascii="Calibri" w:eastAsia="Times New Roman" w:hAnsi="Calibri" w:cs="Arial"/>
          <w:b/>
          <w:bCs/>
          <w:lang w:eastAsia="sl-SI"/>
        </w:rPr>
      </w:pPr>
    </w:p>
    <w:p w14:paraId="15B217C5" w14:textId="77777777" w:rsidR="00A4122A" w:rsidRPr="00DC3DC8" w:rsidRDefault="00A4122A" w:rsidP="00A4122A">
      <w:pPr>
        <w:autoSpaceDE w:val="0"/>
        <w:autoSpaceDN w:val="0"/>
        <w:adjustRightInd w:val="0"/>
        <w:spacing w:after="0" w:line="240" w:lineRule="auto"/>
        <w:jc w:val="both"/>
        <w:rPr>
          <w:rFonts w:ascii="Calibri" w:eastAsia="Times New Roman" w:hAnsi="Calibri" w:cs="Arial"/>
          <w:b/>
          <w:bCs/>
          <w:lang w:eastAsia="sl-SI"/>
        </w:rPr>
      </w:pPr>
      <w:r w:rsidRPr="00DC3DC8">
        <w:rPr>
          <w:rFonts w:ascii="Calibri" w:eastAsia="Times New Roman" w:hAnsi="Calibri" w:cs="Arial"/>
          <w:b/>
          <w:bCs/>
          <w:lang w:eastAsia="sl-SI"/>
        </w:rPr>
        <w:t>Povzetek vsebine</w:t>
      </w:r>
    </w:p>
    <w:p w14:paraId="0B9B6A0D" w14:textId="2041856D" w:rsidR="00EE1784" w:rsidRPr="00DC3DC8" w:rsidRDefault="00EE1784" w:rsidP="003D3BDE">
      <w:pPr>
        <w:spacing w:after="0" w:line="240" w:lineRule="auto"/>
        <w:jc w:val="both"/>
        <w:rPr>
          <w:rFonts w:ascii="Calibri" w:eastAsia="Times New Roman" w:hAnsi="Calibri" w:cs="Calibri"/>
        </w:rPr>
      </w:pPr>
    </w:p>
    <w:p w14:paraId="2F400936" w14:textId="77777777" w:rsidR="00D74DF5" w:rsidRPr="00DC3DC8" w:rsidRDefault="00D74DF5" w:rsidP="00D74DF5">
      <w:pPr>
        <w:autoSpaceDE w:val="0"/>
        <w:autoSpaceDN w:val="0"/>
        <w:adjustRightInd w:val="0"/>
        <w:spacing w:after="0" w:line="240" w:lineRule="auto"/>
        <w:jc w:val="both"/>
        <w:rPr>
          <w:rFonts w:cstheme="minorHAnsi"/>
          <w:color w:val="000000"/>
        </w:rPr>
      </w:pPr>
      <w:r w:rsidRPr="00DC3DC8">
        <w:rPr>
          <w:rFonts w:cstheme="minorHAnsi"/>
          <w:color w:val="000000"/>
        </w:rPr>
        <w:t xml:space="preserve">Z Okrožnico ZAE 8/22 smo uvedli novo storitev E0811 </w:t>
      </w:r>
      <w:r w:rsidRPr="00DC3DC8">
        <w:rPr>
          <w:rFonts w:eastAsia="Times New Roman" w:cstheme="minorHAnsi"/>
          <w:lang w:eastAsia="sl-SI"/>
        </w:rPr>
        <w:t>»Dodatek za brezšivno skrb v bolnišnični obravnavi (BS)«</w:t>
      </w:r>
      <w:r w:rsidRPr="00DC3DC8">
        <w:rPr>
          <w:rFonts w:cstheme="minorHAnsi"/>
          <w:color w:val="000000"/>
        </w:rPr>
        <w:t xml:space="preserve"> in pri tem opredelili, da je pogoj za obračun te storitve prenos </w:t>
      </w:r>
      <w:r w:rsidRPr="00DC3DC8">
        <w:rPr>
          <w:rFonts w:eastAsia="Times New Roman" w:cstheme="minorHAnsi"/>
          <w:lang w:eastAsia="sl-SI"/>
        </w:rPr>
        <w:t>osebne kartice zdravil (OKZ), ki nastane v procesu brezšivne skrbi,</w:t>
      </w:r>
      <w:r w:rsidRPr="00DC3DC8">
        <w:rPr>
          <w:rFonts w:cstheme="minorHAnsi"/>
          <w:color w:val="000000"/>
        </w:rPr>
        <w:t xml:space="preserve"> v CRPP.</w:t>
      </w:r>
    </w:p>
    <w:p w14:paraId="46AE1C3B" w14:textId="77777777" w:rsidR="00D74DF5" w:rsidRPr="00DC3DC8" w:rsidRDefault="00D74DF5" w:rsidP="00D74DF5">
      <w:pPr>
        <w:autoSpaceDE w:val="0"/>
        <w:autoSpaceDN w:val="0"/>
        <w:adjustRightInd w:val="0"/>
        <w:spacing w:after="0" w:line="240" w:lineRule="auto"/>
        <w:jc w:val="both"/>
        <w:rPr>
          <w:rFonts w:cstheme="minorHAnsi"/>
          <w:color w:val="000000"/>
        </w:rPr>
      </w:pPr>
    </w:p>
    <w:p w14:paraId="207DE571" w14:textId="77777777" w:rsidR="00D74DF5" w:rsidRPr="00DC3DC8" w:rsidRDefault="00D74DF5" w:rsidP="00D74DF5">
      <w:pPr>
        <w:autoSpaceDE w:val="0"/>
        <w:autoSpaceDN w:val="0"/>
        <w:adjustRightInd w:val="0"/>
        <w:spacing w:after="0" w:line="240" w:lineRule="auto"/>
        <w:jc w:val="both"/>
        <w:rPr>
          <w:rFonts w:cstheme="minorHAnsi"/>
          <w:color w:val="000000"/>
        </w:rPr>
      </w:pPr>
      <w:r w:rsidRPr="00DC3DC8">
        <w:rPr>
          <w:rFonts w:cstheme="minorHAnsi"/>
          <w:color w:val="000000"/>
        </w:rPr>
        <w:t>Ker sistem generiranja in prenosa OKZ v CRPP, ki ga koordinira MZ, še ni vzpostavljen, zaradi nemotene izvedbe programa BS dopolnjujemo Okrožnico ZAE 8/22, in sicer se storitev E0811 do vzpostavitve sistema prenosa lahko obračuna brez prenosa OKZ v CRPP. Pacientu se ob odpustu izda OKZ v papirni obliki.</w:t>
      </w:r>
    </w:p>
    <w:p w14:paraId="18D7EA02" w14:textId="77777777" w:rsidR="00D74DF5" w:rsidRPr="00DC3DC8" w:rsidRDefault="00D74DF5" w:rsidP="00D74DF5">
      <w:pPr>
        <w:autoSpaceDE w:val="0"/>
        <w:autoSpaceDN w:val="0"/>
        <w:adjustRightInd w:val="0"/>
        <w:spacing w:after="0" w:line="240" w:lineRule="auto"/>
        <w:jc w:val="both"/>
        <w:rPr>
          <w:rFonts w:cstheme="minorHAnsi"/>
          <w:color w:val="000000"/>
        </w:rPr>
      </w:pPr>
    </w:p>
    <w:p w14:paraId="2E390CEB" w14:textId="77777777" w:rsidR="00D74DF5" w:rsidRPr="00DC3DC8" w:rsidRDefault="00D74DF5" w:rsidP="00D74DF5">
      <w:pPr>
        <w:autoSpaceDE w:val="0"/>
        <w:autoSpaceDN w:val="0"/>
        <w:adjustRightInd w:val="0"/>
        <w:spacing w:after="0" w:line="240" w:lineRule="auto"/>
        <w:jc w:val="both"/>
        <w:rPr>
          <w:rFonts w:ascii="Calibri" w:eastAsia="Times New Roman" w:hAnsi="Calibri" w:cs="Calibri"/>
          <w:color w:val="000000"/>
          <w:lang w:eastAsia="sl-SI"/>
        </w:rPr>
      </w:pPr>
      <w:r w:rsidRPr="00DC3DC8">
        <w:rPr>
          <w:rFonts w:cstheme="minorHAnsi"/>
          <w:color w:val="000000"/>
        </w:rPr>
        <w:t>Obenem dodatno pojasnjujemo, da se preskrba z zdravili izvede le po opravljeni storitvi E0811. Obračun zdravil, izdanih v okviru BS, se izvede ob zaključku obravnave, pri kateri je bila izvedena storitev E0811.</w:t>
      </w:r>
    </w:p>
    <w:p w14:paraId="5DB16411" w14:textId="77777777" w:rsidR="00D74DF5" w:rsidRPr="00DC3DC8" w:rsidRDefault="00D74DF5" w:rsidP="00D74DF5">
      <w:pPr>
        <w:autoSpaceDE w:val="0"/>
        <w:autoSpaceDN w:val="0"/>
        <w:adjustRightInd w:val="0"/>
        <w:spacing w:after="0" w:line="240" w:lineRule="auto"/>
        <w:jc w:val="both"/>
        <w:rPr>
          <w:rFonts w:ascii="Calibri" w:eastAsia="Times New Roman" w:hAnsi="Calibri" w:cs="Arial"/>
          <w:b/>
          <w:bCs/>
          <w:lang w:eastAsia="sl-SI"/>
        </w:rPr>
      </w:pPr>
    </w:p>
    <w:p w14:paraId="7958D210" w14:textId="77777777" w:rsidR="00D74DF5" w:rsidRPr="00DC3DC8" w:rsidRDefault="00D74DF5" w:rsidP="00D74DF5">
      <w:pPr>
        <w:autoSpaceDE w:val="0"/>
        <w:autoSpaceDN w:val="0"/>
        <w:adjustRightInd w:val="0"/>
        <w:spacing w:after="0" w:line="240" w:lineRule="auto"/>
        <w:jc w:val="both"/>
        <w:rPr>
          <w:rFonts w:ascii="Calibri" w:eastAsia="Times New Roman" w:hAnsi="Calibri" w:cs="Arial"/>
          <w:b/>
          <w:bCs/>
          <w:lang w:eastAsia="sl-SI"/>
        </w:rPr>
      </w:pPr>
      <w:r w:rsidRPr="00DC3DC8">
        <w:rPr>
          <w:rFonts w:ascii="Calibri" w:eastAsia="Times New Roman" w:hAnsi="Calibri" w:cs="Arial"/>
          <w:b/>
          <w:bCs/>
          <w:lang w:eastAsia="sl-SI"/>
        </w:rPr>
        <w:t>Navodilo za obračun</w:t>
      </w:r>
    </w:p>
    <w:p w14:paraId="5F7FB39C" w14:textId="77777777" w:rsidR="00D74DF5" w:rsidRPr="00DC3DC8" w:rsidRDefault="00D74DF5" w:rsidP="00D74DF5">
      <w:pPr>
        <w:autoSpaceDE w:val="0"/>
        <w:autoSpaceDN w:val="0"/>
        <w:adjustRightInd w:val="0"/>
        <w:spacing w:after="0" w:line="240" w:lineRule="auto"/>
        <w:jc w:val="both"/>
        <w:rPr>
          <w:rFonts w:ascii="Calibri" w:eastAsia="Times New Roman" w:hAnsi="Calibri" w:cs="Arial"/>
          <w:b/>
          <w:bCs/>
          <w:lang w:eastAsia="sl-SI"/>
        </w:rPr>
      </w:pPr>
    </w:p>
    <w:p w14:paraId="411A54FE" w14:textId="77777777" w:rsidR="00D74DF5" w:rsidRPr="00DC3DC8" w:rsidRDefault="00D74DF5" w:rsidP="00D74DF5">
      <w:pPr>
        <w:autoSpaceDE w:val="0"/>
        <w:autoSpaceDN w:val="0"/>
        <w:adjustRightInd w:val="0"/>
        <w:spacing w:after="0" w:line="240" w:lineRule="auto"/>
        <w:jc w:val="both"/>
        <w:rPr>
          <w:rFonts w:cstheme="minorHAnsi"/>
          <w:color w:val="000000"/>
        </w:rPr>
      </w:pPr>
      <w:r w:rsidRPr="00DC3DC8">
        <w:rPr>
          <w:rFonts w:cstheme="minorHAnsi"/>
          <w:color w:val="000000"/>
        </w:rPr>
        <w:t>Prenos OKZ v CRPP do vzpostavitve sistema za njen prenos v CRPP ni pogoj za obračun storitve E0811. Izvajalci morajo pacientu ob odpustu vročiti OKZ v papirni obliki.</w:t>
      </w:r>
    </w:p>
    <w:p w14:paraId="2A3B6EA3" w14:textId="77777777" w:rsidR="00D74DF5" w:rsidRPr="00DC3DC8" w:rsidRDefault="00D74DF5" w:rsidP="00D74DF5">
      <w:pPr>
        <w:autoSpaceDE w:val="0"/>
        <w:autoSpaceDN w:val="0"/>
        <w:adjustRightInd w:val="0"/>
        <w:spacing w:after="0" w:line="240" w:lineRule="auto"/>
        <w:jc w:val="both"/>
        <w:rPr>
          <w:rFonts w:cstheme="minorHAnsi"/>
          <w:color w:val="000000"/>
        </w:rPr>
      </w:pPr>
    </w:p>
    <w:p w14:paraId="45103F4D" w14:textId="77777777" w:rsidR="00D74DF5" w:rsidRPr="00DC3DC8" w:rsidRDefault="00D74DF5" w:rsidP="00D74DF5">
      <w:pPr>
        <w:autoSpaceDE w:val="0"/>
        <w:autoSpaceDN w:val="0"/>
        <w:adjustRightInd w:val="0"/>
        <w:spacing w:after="0" w:line="240" w:lineRule="auto"/>
        <w:jc w:val="both"/>
        <w:rPr>
          <w:rFonts w:eastAsia="Times New Roman" w:cstheme="minorHAnsi"/>
          <w:color w:val="808080"/>
          <w:lang w:eastAsia="sl-SI"/>
        </w:rPr>
      </w:pPr>
      <w:r w:rsidRPr="00DC3DC8">
        <w:rPr>
          <w:rFonts w:cstheme="minorHAnsi"/>
          <w:color w:val="000000"/>
        </w:rPr>
        <w:t>Po vzpostavitvi sistema veljajo ponovno pravila iz Okrožnice ZAE 8/22 točka 24.</w:t>
      </w:r>
    </w:p>
    <w:p w14:paraId="4C5A3B96" w14:textId="77777777" w:rsidR="00D74DF5" w:rsidRPr="00DC3DC8" w:rsidRDefault="00D74DF5" w:rsidP="00D74DF5">
      <w:pPr>
        <w:autoSpaceDE w:val="0"/>
        <w:autoSpaceDN w:val="0"/>
        <w:adjustRightInd w:val="0"/>
        <w:spacing w:after="0" w:line="240" w:lineRule="auto"/>
        <w:jc w:val="both"/>
        <w:rPr>
          <w:rFonts w:ascii="Calibri" w:eastAsia="Calibri" w:hAnsi="Calibri" w:cs="Arial"/>
        </w:rPr>
      </w:pPr>
    </w:p>
    <w:p w14:paraId="3CACC2F5" w14:textId="77777777" w:rsidR="00D74DF5" w:rsidRPr="00DC3DC8" w:rsidRDefault="00D74DF5" w:rsidP="00D74DF5">
      <w:pPr>
        <w:autoSpaceDE w:val="0"/>
        <w:autoSpaceDN w:val="0"/>
        <w:adjustRightInd w:val="0"/>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 xml:space="preserve">Kontaktne osebe za vsebinska vprašanja: </w:t>
      </w:r>
    </w:p>
    <w:p w14:paraId="4AC00632" w14:textId="77777777" w:rsidR="00D74DF5" w:rsidRPr="00DC3DC8" w:rsidRDefault="00D74DF5" w:rsidP="00D74DF5">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Rozeta Hafner (</w:t>
      </w:r>
      <w:hyperlink r:id="rId16" w:history="1">
        <w:r w:rsidRPr="00DC3DC8">
          <w:rPr>
            <w:rFonts w:ascii="Calibri" w:eastAsia="Times New Roman" w:hAnsi="Calibri" w:cs="Arial"/>
            <w:color w:val="0000FF"/>
            <w:u w:val="single"/>
            <w:lang w:eastAsia="sl-SI"/>
          </w:rPr>
          <w:t>rozeta.hafner@zzzs.si</w:t>
        </w:r>
      </w:hyperlink>
      <w:r w:rsidRPr="00DC3DC8">
        <w:rPr>
          <w:rFonts w:ascii="Calibri" w:eastAsia="Times New Roman" w:hAnsi="Calibri" w:cs="Arial"/>
          <w:lang w:eastAsia="sl-SI"/>
        </w:rPr>
        <w:t xml:space="preserve"> 01/30-77-588)</w:t>
      </w:r>
    </w:p>
    <w:p w14:paraId="43BA9A29" w14:textId="77777777" w:rsidR="00D74DF5" w:rsidRPr="00DC3DC8" w:rsidRDefault="00D74DF5" w:rsidP="00D74DF5">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Anita Strmljan (</w:t>
      </w:r>
      <w:hyperlink r:id="rId17" w:history="1">
        <w:r w:rsidRPr="00DC3DC8">
          <w:rPr>
            <w:rFonts w:ascii="Calibri" w:eastAsia="Times New Roman" w:hAnsi="Calibri" w:cs="Arial"/>
            <w:color w:val="0000FF"/>
            <w:u w:val="single"/>
            <w:lang w:eastAsia="sl-SI"/>
          </w:rPr>
          <w:t>anita.strmljan@zzzs.si</w:t>
        </w:r>
      </w:hyperlink>
      <w:r w:rsidRPr="00DC3DC8">
        <w:rPr>
          <w:rFonts w:ascii="Calibri" w:eastAsia="Times New Roman" w:hAnsi="Calibri" w:cs="Arial"/>
          <w:lang w:eastAsia="sl-SI"/>
        </w:rPr>
        <w:t xml:space="preserve"> 01/30-77-522)</w:t>
      </w:r>
    </w:p>
    <w:p w14:paraId="68B8E33F" w14:textId="77777777" w:rsidR="00D74DF5" w:rsidRPr="00DC3DC8" w:rsidRDefault="00D74DF5" w:rsidP="00D74DF5">
      <w:pPr>
        <w:widowControl w:val="0"/>
        <w:suppressAutoHyphens/>
        <w:spacing w:after="0" w:line="240" w:lineRule="auto"/>
        <w:jc w:val="both"/>
        <w:rPr>
          <w:rFonts w:ascii="Calibri" w:eastAsia="Times New Roman" w:hAnsi="Calibri" w:cs="Arial"/>
          <w:lang w:eastAsia="sl-SI"/>
        </w:rPr>
      </w:pPr>
      <w:r w:rsidRPr="00DC3DC8">
        <w:rPr>
          <w:rFonts w:ascii="Calibri" w:eastAsia="Times New Roman" w:hAnsi="Calibri" w:cs="Arial"/>
          <w:lang w:eastAsia="sl-SI"/>
        </w:rPr>
        <w:t>Franc Osredkar (</w:t>
      </w:r>
      <w:hyperlink r:id="rId18" w:history="1">
        <w:r w:rsidRPr="00DC3DC8">
          <w:rPr>
            <w:rFonts w:ascii="Calibri" w:eastAsia="Times New Roman" w:hAnsi="Calibri" w:cs="Arial"/>
            <w:noProof/>
            <w:color w:val="0000FF"/>
            <w:u w:val="single"/>
            <w:lang w:eastAsia="sl-SI"/>
          </w:rPr>
          <w:t>franc.osredkar@zzzs.si</w:t>
        </w:r>
      </w:hyperlink>
      <w:r w:rsidRPr="00DC3DC8">
        <w:rPr>
          <w:rFonts w:ascii="Calibri" w:eastAsia="Times New Roman" w:hAnsi="Calibri" w:cs="Arial"/>
          <w:lang w:eastAsia="sl-SI"/>
        </w:rPr>
        <w:t xml:space="preserve">  01/30-77-383)</w:t>
      </w:r>
    </w:p>
    <w:p w14:paraId="0CA85A00" w14:textId="47286AC6" w:rsidR="00EE1784" w:rsidRPr="00DC3DC8" w:rsidRDefault="00EE1784" w:rsidP="003D3BDE">
      <w:pPr>
        <w:spacing w:after="0" w:line="240" w:lineRule="auto"/>
        <w:jc w:val="both"/>
        <w:rPr>
          <w:rFonts w:ascii="Calibri" w:eastAsia="Times New Roman" w:hAnsi="Calibri" w:cs="Calibri"/>
        </w:rPr>
      </w:pPr>
    </w:p>
    <w:p w14:paraId="74950DC3" w14:textId="77777777" w:rsidR="00D74DF5" w:rsidRPr="00DC3DC8" w:rsidRDefault="00D74DF5" w:rsidP="003D3BDE">
      <w:pPr>
        <w:spacing w:after="0" w:line="240" w:lineRule="auto"/>
        <w:jc w:val="both"/>
        <w:rPr>
          <w:rFonts w:ascii="Calibri" w:eastAsia="Times New Roman" w:hAnsi="Calibri" w:cs="Calibri"/>
        </w:rPr>
      </w:pPr>
    </w:p>
    <w:p w14:paraId="10945A84" w14:textId="77777777" w:rsidR="003D3BDE" w:rsidRPr="00DC3DC8" w:rsidRDefault="003D3BDE" w:rsidP="003D3BDE">
      <w:pPr>
        <w:spacing w:after="0" w:line="240" w:lineRule="auto"/>
        <w:jc w:val="both"/>
        <w:rPr>
          <w:rFonts w:ascii="Calibri" w:eastAsia="Times New Roman" w:hAnsi="Calibri" w:cs="Calibri"/>
        </w:rPr>
      </w:pPr>
    </w:p>
    <w:p w14:paraId="095ADC2E" w14:textId="77777777" w:rsidR="003D3BDE" w:rsidRPr="00DC3DC8" w:rsidRDefault="003D3BDE" w:rsidP="003D3BDE">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6" w:name="_Toc125701147"/>
      <w:r w:rsidRPr="00DC3DC8">
        <w:rPr>
          <w:rFonts w:ascii="Calibri" w:eastAsia="Times New Roman" w:hAnsi="Calibri" w:cs="Calibri"/>
          <w:b/>
          <w:color w:val="0070C0"/>
          <w:sz w:val="28"/>
          <w:szCs w:val="28"/>
        </w:rPr>
        <w:t>Pavšal za Državni program obvladovanja raka (E0836) – podaljšanje datuma veljavnosti</w:t>
      </w:r>
      <w:bookmarkEnd w:id="16"/>
    </w:p>
    <w:p w14:paraId="7DBD80E3" w14:textId="77777777" w:rsidR="003D3BDE" w:rsidRPr="00DC3DC8" w:rsidRDefault="003D3BDE" w:rsidP="003D3BDE">
      <w:pPr>
        <w:spacing w:after="0" w:line="240" w:lineRule="auto"/>
        <w:rPr>
          <w:rFonts w:ascii="Arial" w:eastAsia="Times New Roman" w:hAnsi="Arial" w:cs="Arial"/>
          <w:sz w:val="24"/>
          <w:szCs w:val="24"/>
          <w:lang w:eastAsia="sl-SI"/>
        </w:rPr>
      </w:pPr>
    </w:p>
    <w:p w14:paraId="6A067CCC" w14:textId="77777777" w:rsidR="003D3BDE" w:rsidRPr="00DC3DC8" w:rsidRDefault="003D3BDE" w:rsidP="003D3BDE">
      <w:pPr>
        <w:spacing w:after="0" w:line="240" w:lineRule="auto"/>
        <w:jc w:val="both"/>
        <w:rPr>
          <w:rFonts w:ascii="Calibri" w:eastAsia="Times New Roman" w:hAnsi="Calibri" w:cs="Arial"/>
          <w:bCs/>
          <w:i/>
          <w:iCs/>
          <w:color w:val="0070C0"/>
          <w:lang w:eastAsia="sl-SI"/>
        </w:rPr>
      </w:pPr>
      <w:r w:rsidRPr="00DC3DC8">
        <w:rPr>
          <w:rFonts w:ascii="Calibri" w:eastAsia="Times New Roman" w:hAnsi="Calibri" w:cs="Arial"/>
          <w:bCs/>
          <w:i/>
          <w:iCs/>
          <w:color w:val="0070C0"/>
          <w:lang w:eastAsia="sl-SI"/>
        </w:rPr>
        <w:t>Onkološki inštitut Ljubljana</w:t>
      </w:r>
    </w:p>
    <w:p w14:paraId="15EE9386" w14:textId="77777777" w:rsidR="003D3BDE" w:rsidRPr="00DC3DC8" w:rsidRDefault="003D3BDE" w:rsidP="003D3BDE">
      <w:pPr>
        <w:spacing w:after="0" w:line="240" w:lineRule="auto"/>
        <w:jc w:val="both"/>
        <w:rPr>
          <w:rFonts w:ascii="Calibri" w:eastAsia="Times New Roman" w:hAnsi="Calibri" w:cs="Calibri"/>
          <w:lang w:eastAsia="sl-SI"/>
        </w:rPr>
      </w:pPr>
    </w:p>
    <w:p w14:paraId="7C9E475B" w14:textId="77777777" w:rsidR="003D3BDE" w:rsidRPr="00DC3DC8" w:rsidRDefault="003D3BDE" w:rsidP="003D3BDE">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5F24596E" w14:textId="77777777" w:rsidR="003D3BDE" w:rsidRPr="00DC3DC8" w:rsidRDefault="003D3BDE" w:rsidP="003D3BDE">
      <w:pPr>
        <w:spacing w:after="0" w:line="240" w:lineRule="auto"/>
        <w:jc w:val="both"/>
        <w:rPr>
          <w:rFonts w:ascii="Calibri" w:eastAsia="Times New Roman" w:hAnsi="Calibri" w:cs="Calibri"/>
          <w:lang w:eastAsia="sl-SI"/>
        </w:rPr>
      </w:pPr>
    </w:p>
    <w:p w14:paraId="67D3EEAB" w14:textId="7170B05D" w:rsidR="00402BAA" w:rsidRPr="00DC3DC8" w:rsidRDefault="00402BAA" w:rsidP="003D3BDE">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na podlagi Uredbe o določitvi programov storitev obveznega zdravstvenega zavarovanja, opredelitev zmogljivosti, potrebnih za njegovo izvajanje, in določitev obsega sredstev za leto 2022 (Uradni list RS, št. 112/2022) z Okrožnico ZAE 14/22 uvedel novo podvrsto zdravstvene dejavnosti za izvajanje programov za obvladovanje raka in novo storitev E0836 »Pavšal Državni program obvladovanja raka</w:t>
      </w:r>
      <w:r w:rsidR="00C66A92" w:rsidRPr="00DC3DC8">
        <w:rPr>
          <w:rFonts w:ascii="Calibri" w:eastAsia="Times New Roman" w:hAnsi="Calibri" w:cs="Calibri"/>
          <w:lang w:eastAsia="sl-SI"/>
        </w:rPr>
        <w:t>,</w:t>
      </w:r>
      <w:r w:rsidR="00C66A92" w:rsidRPr="00DC3DC8">
        <w:t xml:space="preserve"> </w:t>
      </w:r>
      <w:r w:rsidR="00C66A92" w:rsidRPr="00DC3DC8">
        <w:rPr>
          <w:rFonts w:ascii="Calibri" w:eastAsia="Times New Roman" w:hAnsi="Calibri" w:cs="Calibri"/>
          <w:lang w:eastAsia="sl-SI"/>
        </w:rPr>
        <w:t>in sicer za obdobje opravljenih storitev od 1. 9. 2022 do 31. 12. 2022.</w:t>
      </w:r>
    </w:p>
    <w:p w14:paraId="257415AF" w14:textId="77777777" w:rsidR="00C66A92" w:rsidRPr="00DC3DC8" w:rsidRDefault="00C66A92" w:rsidP="003D3BDE">
      <w:pPr>
        <w:spacing w:after="0" w:line="240" w:lineRule="auto"/>
        <w:jc w:val="both"/>
        <w:rPr>
          <w:rFonts w:ascii="Calibri" w:eastAsia="Times New Roman" w:hAnsi="Calibri" w:cs="Calibri"/>
          <w:lang w:eastAsia="sl-SI"/>
        </w:rPr>
      </w:pPr>
    </w:p>
    <w:p w14:paraId="40CF6D67" w14:textId="5461A385" w:rsidR="00402BAA" w:rsidRPr="00DC3DC8" w:rsidRDefault="00402BAA" w:rsidP="003D3BDE">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Uredba o spremembah in dopolnitvi Uredbe o določitvi programov storitev obveznega zdravstvenega zavarovanja, opredelitev zmogljivosti, potrebnih za njegovo izvajanje, in določitev obsega sredstev za leto 2022 (Uradni list RS, št. 165/2022) ukinja zgoraj navedeno omejitev veljavnosti (31. 12. 2022).</w:t>
      </w:r>
    </w:p>
    <w:p w14:paraId="02129DEF" w14:textId="77777777" w:rsidR="00402BAA" w:rsidRPr="00DC3DC8" w:rsidRDefault="00402BAA" w:rsidP="003D3BDE">
      <w:pPr>
        <w:spacing w:after="0" w:line="240" w:lineRule="auto"/>
        <w:jc w:val="both"/>
        <w:rPr>
          <w:rFonts w:ascii="Calibri" w:eastAsia="Times New Roman" w:hAnsi="Calibri" w:cs="Calibri"/>
          <w:lang w:eastAsia="sl-SI"/>
        </w:rPr>
      </w:pPr>
    </w:p>
    <w:p w14:paraId="3269028B" w14:textId="77777777" w:rsidR="00402BAA" w:rsidRPr="00DC3DC8" w:rsidRDefault="00402BAA" w:rsidP="003D3BDE">
      <w:pPr>
        <w:spacing w:after="0" w:line="240" w:lineRule="auto"/>
        <w:jc w:val="both"/>
        <w:rPr>
          <w:rFonts w:ascii="Calibri" w:eastAsia="Times New Roman" w:hAnsi="Calibri" w:cs="Calibri"/>
          <w:lang w:eastAsia="sl-SI"/>
        </w:rPr>
      </w:pPr>
    </w:p>
    <w:p w14:paraId="5CA4D4D4" w14:textId="193C71E0" w:rsidR="003D3BDE" w:rsidRPr="00DC3DC8" w:rsidRDefault="003D3BDE" w:rsidP="003D3BDE">
      <w:pPr>
        <w:spacing w:after="0" w:line="240" w:lineRule="auto"/>
        <w:jc w:val="both"/>
        <w:rPr>
          <w:rFonts w:ascii="Calibri" w:eastAsia="Times New Roman" w:hAnsi="Calibri" w:cs="Calibri"/>
          <w:lang w:eastAsia="sl-SI"/>
        </w:rPr>
      </w:pPr>
    </w:p>
    <w:p w14:paraId="3EE9584C" w14:textId="77777777" w:rsidR="008E38A4" w:rsidRPr="00DC3DC8" w:rsidRDefault="008E38A4" w:rsidP="003D3BDE">
      <w:pPr>
        <w:spacing w:after="0" w:line="240" w:lineRule="auto"/>
        <w:jc w:val="both"/>
        <w:rPr>
          <w:rFonts w:ascii="Calibri" w:eastAsia="Times New Roman" w:hAnsi="Calibri" w:cs="Calibri"/>
          <w:lang w:eastAsia="sl-SI"/>
        </w:rPr>
      </w:pPr>
    </w:p>
    <w:p w14:paraId="3A85BD4E" w14:textId="77777777" w:rsidR="003D3BDE" w:rsidRPr="00DC3DC8" w:rsidRDefault="003D3BDE" w:rsidP="003D3BDE">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color w:val="000000"/>
          <w:lang w:eastAsia="sl-SI"/>
        </w:rPr>
        <w:lastRenderedPageBreak/>
        <w:t>Navodilo za obračun</w:t>
      </w:r>
    </w:p>
    <w:p w14:paraId="37BC2F94" w14:textId="77777777" w:rsidR="003D3BDE" w:rsidRPr="00DC3DC8" w:rsidRDefault="003D3BDE" w:rsidP="003D3BDE">
      <w:pPr>
        <w:spacing w:after="0" w:line="240" w:lineRule="auto"/>
        <w:jc w:val="both"/>
        <w:rPr>
          <w:rFonts w:ascii="Calibri" w:eastAsia="Times New Roman" w:hAnsi="Calibri" w:cs="Calibri"/>
          <w:lang w:eastAsia="sl-SI"/>
        </w:rPr>
      </w:pPr>
    </w:p>
    <w:p w14:paraId="497A1D3A" w14:textId="5C1A5681" w:rsidR="003D3BDE" w:rsidRPr="00DC3DC8" w:rsidRDefault="003D3BDE" w:rsidP="003D3BDE">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 xml:space="preserve">Skladno z navedenim </w:t>
      </w:r>
      <w:r w:rsidR="00402BAA" w:rsidRPr="00DC3DC8">
        <w:rPr>
          <w:rFonts w:ascii="Calibri" w:eastAsia="Times New Roman" w:hAnsi="Calibri" w:cs="Calibri"/>
          <w:lang w:eastAsia="sl-SI"/>
        </w:rPr>
        <w:t xml:space="preserve">podaljšujemo </w:t>
      </w:r>
      <w:r w:rsidRPr="00DC3DC8">
        <w:rPr>
          <w:rFonts w:ascii="Calibri" w:eastAsia="Times New Roman" w:hAnsi="Calibri" w:cs="Calibri"/>
          <w:lang w:eastAsia="sl-SI"/>
        </w:rPr>
        <w:t>možnost obračunavanja storitve</w:t>
      </w:r>
      <w:r w:rsidRPr="00DC3DC8">
        <w:t xml:space="preserve"> </w:t>
      </w:r>
      <w:r w:rsidRPr="00DC3DC8">
        <w:rPr>
          <w:rFonts w:ascii="Calibri" w:eastAsia="Times New Roman" w:hAnsi="Calibri" w:cs="Calibri"/>
          <w:lang w:eastAsia="sl-SI"/>
        </w:rPr>
        <w:t>E0836 »Pavšal Državni program obvladovanja raka«</w:t>
      </w:r>
      <w:r w:rsidR="00402BAA" w:rsidRPr="00DC3DC8">
        <w:rPr>
          <w:rFonts w:ascii="Calibri" w:eastAsia="Times New Roman" w:hAnsi="Calibri" w:cs="Calibri"/>
          <w:lang w:eastAsia="sl-SI"/>
        </w:rPr>
        <w:t xml:space="preserve"> </w:t>
      </w:r>
      <w:r w:rsidRPr="00DC3DC8">
        <w:rPr>
          <w:rFonts w:ascii="Calibri" w:eastAsia="Times New Roman" w:hAnsi="Calibri" w:cs="Calibri"/>
          <w:lang w:eastAsia="sl-SI"/>
        </w:rPr>
        <w:t>v:</w:t>
      </w:r>
    </w:p>
    <w:p w14:paraId="6CC01974" w14:textId="77777777" w:rsidR="003D3BDE" w:rsidRPr="00DC3DC8" w:rsidRDefault="003D3BDE" w:rsidP="003D3BDE">
      <w:pPr>
        <w:numPr>
          <w:ilvl w:val="0"/>
          <w:numId w:val="15"/>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seznamu storitev 15.3 »Storitve PGO«,</w:t>
      </w:r>
    </w:p>
    <w:p w14:paraId="209D59C0" w14:textId="77777777" w:rsidR="003D3BDE" w:rsidRPr="00DC3DC8" w:rsidRDefault="003D3BDE" w:rsidP="003D3BDE">
      <w:pPr>
        <w:numPr>
          <w:ilvl w:val="0"/>
          <w:numId w:val="15"/>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povezovalnem šifrantu K1 »Vrste zdravstvene dejavnosti in storitve za obračun« in</w:t>
      </w:r>
    </w:p>
    <w:p w14:paraId="4F88CFB9" w14:textId="77777777" w:rsidR="003D3BDE" w:rsidRPr="00DC3DC8" w:rsidRDefault="003D3BDE" w:rsidP="003D3BDE">
      <w:pPr>
        <w:numPr>
          <w:ilvl w:val="0"/>
          <w:numId w:val="15"/>
        </w:numPr>
        <w:spacing w:after="0" w:line="240" w:lineRule="auto"/>
        <w:contextualSpacing/>
        <w:jc w:val="both"/>
        <w:rPr>
          <w:rFonts w:ascii="Calibri" w:eastAsia="Times New Roman" w:hAnsi="Calibri" w:cs="Calibri"/>
          <w:lang w:eastAsia="sl-SI"/>
        </w:rPr>
      </w:pPr>
      <w:r w:rsidRPr="00DC3DC8">
        <w:rPr>
          <w:rFonts w:ascii="Calibri" w:eastAsia="Times New Roman" w:hAnsi="Calibri" w:cs="Calibri"/>
          <w:lang w:eastAsia="sl-SI"/>
        </w:rPr>
        <w:t>povezovalnem šifrantu K2 »VZD s storitvami glede na vrsto dokumenta po strukturi«.</w:t>
      </w:r>
    </w:p>
    <w:p w14:paraId="4E95D628" w14:textId="77777777" w:rsidR="003D3BDE" w:rsidRPr="00DC3DC8" w:rsidRDefault="003D3BDE" w:rsidP="003D3BDE">
      <w:pPr>
        <w:spacing w:after="0" w:line="240" w:lineRule="auto"/>
        <w:jc w:val="both"/>
        <w:rPr>
          <w:rFonts w:ascii="Calibri" w:eastAsia="Calibri" w:hAnsi="Calibri" w:cs="Arial"/>
          <w:color w:val="000000"/>
        </w:rPr>
      </w:pPr>
    </w:p>
    <w:p w14:paraId="65459039" w14:textId="77777777" w:rsidR="003D3BDE" w:rsidRPr="00DC3DC8" w:rsidRDefault="003D3BDE" w:rsidP="003D3BDE">
      <w:pPr>
        <w:spacing w:after="0" w:line="240" w:lineRule="auto"/>
        <w:jc w:val="both"/>
        <w:rPr>
          <w:rFonts w:ascii="Calibri" w:eastAsia="Calibri" w:hAnsi="Calibri" w:cs="Arial"/>
          <w:color w:val="000000"/>
        </w:rPr>
      </w:pPr>
    </w:p>
    <w:p w14:paraId="38BAD6CA" w14:textId="77777777" w:rsidR="003D3BDE" w:rsidRPr="00DC3DC8" w:rsidRDefault="003D3BDE" w:rsidP="003D3BDE">
      <w:pPr>
        <w:spacing w:after="0" w:line="240" w:lineRule="auto"/>
        <w:jc w:val="both"/>
        <w:rPr>
          <w:rFonts w:ascii="Calibri" w:eastAsia="Calibri" w:hAnsi="Calibri" w:cs="Arial"/>
          <w:color w:val="000000"/>
        </w:rPr>
      </w:pPr>
      <w:r w:rsidRPr="00DC3DC8">
        <w:rPr>
          <w:rFonts w:ascii="Calibri" w:eastAsia="Calibri" w:hAnsi="Calibri" w:cs="Arial"/>
          <w:color w:val="000000"/>
        </w:rPr>
        <w:t>Kontaktna oseba za vsebinska vprašanja:</w:t>
      </w:r>
    </w:p>
    <w:p w14:paraId="72CED56D" w14:textId="77777777" w:rsidR="003D3BDE" w:rsidRPr="00DC3DC8" w:rsidRDefault="003D3BDE" w:rsidP="003D3BDE">
      <w:pPr>
        <w:autoSpaceDE w:val="0"/>
        <w:autoSpaceDN w:val="0"/>
        <w:adjustRightInd w:val="0"/>
        <w:spacing w:after="0" w:line="240" w:lineRule="auto"/>
        <w:jc w:val="both"/>
        <w:rPr>
          <w:rFonts w:eastAsia="Times New Roman" w:cstheme="minorHAnsi"/>
          <w:lang w:eastAsia="sl-SI"/>
        </w:rPr>
      </w:pPr>
      <w:r w:rsidRPr="00DC3DC8">
        <w:rPr>
          <w:rFonts w:eastAsia="Times New Roman" w:cstheme="minorHAnsi"/>
          <w:lang w:eastAsia="sl-SI"/>
        </w:rPr>
        <w:t>Darja Kušar (</w:t>
      </w:r>
      <w:hyperlink r:id="rId19" w:history="1">
        <w:r w:rsidRPr="00DC3DC8">
          <w:rPr>
            <w:rFonts w:eastAsia="Times New Roman" w:cstheme="minorHAnsi"/>
            <w:noProof/>
            <w:color w:val="0000FF"/>
            <w:u w:val="single"/>
            <w:lang w:eastAsia="sl-SI"/>
          </w:rPr>
          <w:t>darja.kusar@zzzs.si</w:t>
        </w:r>
      </w:hyperlink>
      <w:r w:rsidRPr="00DC3DC8">
        <w:rPr>
          <w:rFonts w:eastAsia="Times New Roman" w:cstheme="minorHAnsi"/>
          <w:lang w:eastAsia="sl-SI"/>
        </w:rPr>
        <w:t>; 01/30-77-436)</w:t>
      </w:r>
    </w:p>
    <w:p w14:paraId="03DEB2D5" w14:textId="6EF042B6" w:rsidR="003D3BDE" w:rsidRPr="00DC3DC8" w:rsidRDefault="003D3BDE" w:rsidP="000A2951">
      <w:pPr>
        <w:spacing w:after="0" w:line="240" w:lineRule="auto"/>
      </w:pPr>
    </w:p>
    <w:p w14:paraId="125A4B2A" w14:textId="77777777" w:rsidR="000A2951" w:rsidRPr="00DC3DC8" w:rsidRDefault="000A2951" w:rsidP="000A2951">
      <w:pPr>
        <w:spacing w:after="0" w:line="240" w:lineRule="auto"/>
        <w:jc w:val="both"/>
        <w:rPr>
          <w:rFonts w:ascii="Calibri" w:eastAsia="Times New Roman" w:hAnsi="Calibri" w:cs="Calibri"/>
        </w:rPr>
      </w:pPr>
    </w:p>
    <w:p w14:paraId="203FC516" w14:textId="5179D2D9" w:rsidR="003D3BDE" w:rsidRPr="00DC3DC8" w:rsidRDefault="003D3BDE" w:rsidP="000A2951">
      <w:pPr>
        <w:spacing w:after="0" w:line="240" w:lineRule="auto"/>
        <w:jc w:val="both"/>
        <w:rPr>
          <w:rFonts w:ascii="Calibri" w:eastAsia="Times New Roman" w:hAnsi="Calibri" w:cs="Calibri"/>
        </w:rPr>
      </w:pPr>
    </w:p>
    <w:p w14:paraId="03AAFC76" w14:textId="77777777" w:rsidR="000A2951" w:rsidRPr="00DC3DC8" w:rsidRDefault="000A2951" w:rsidP="000A2951">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17" w:name="_Toc87953740"/>
      <w:bookmarkStart w:id="18" w:name="_Toc100906523"/>
      <w:bookmarkStart w:id="19" w:name="_Toc125701148"/>
      <w:r w:rsidRPr="00DC3DC8">
        <w:rPr>
          <w:rFonts w:ascii="Calibri" w:eastAsia="Times New Roman" w:hAnsi="Calibri" w:cs="Calibri"/>
          <w:b/>
          <w:color w:val="0070C0"/>
          <w:sz w:val="28"/>
          <w:szCs w:val="28"/>
        </w:rPr>
        <w:t>Telemedicinska obravnava pacientov, obolelih s COVID 19</w:t>
      </w:r>
      <w:bookmarkEnd w:id="17"/>
      <w:bookmarkEnd w:id="18"/>
      <w:r w:rsidRPr="00DC3DC8">
        <w:rPr>
          <w:rFonts w:ascii="Calibri" w:eastAsia="Times New Roman" w:hAnsi="Calibri" w:cs="Calibri"/>
          <w:b/>
          <w:color w:val="0070C0"/>
          <w:sz w:val="28"/>
          <w:szCs w:val="28"/>
        </w:rPr>
        <w:t xml:space="preserve"> (E0766 in E0767) – podaljšanje datuma veljavnosti</w:t>
      </w:r>
      <w:bookmarkEnd w:id="19"/>
      <w:r w:rsidRPr="00DC3DC8">
        <w:rPr>
          <w:rFonts w:ascii="Calibri" w:eastAsia="Times New Roman" w:hAnsi="Calibri" w:cs="Calibri"/>
          <w:b/>
          <w:color w:val="0070C0"/>
          <w:sz w:val="28"/>
          <w:szCs w:val="28"/>
        </w:rPr>
        <w:t xml:space="preserve"> </w:t>
      </w:r>
    </w:p>
    <w:p w14:paraId="51A3EB0C" w14:textId="77777777" w:rsidR="000A2951" w:rsidRPr="00DC3DC8" w:rsidRDefault="000A2951" w:rsidP="000A2951">
      <w:pPr>
        <w:spacing w:after="0" w:line="240" w:lineRule="auto"/>
        <w:rPr>
          <w:rFonts w:ascii="Arial" w:eastAsia="Times New Roman" w:hAnsi="Arial" w:cs="Arial"/>
          <w:sz w:val="24"/>
          <w:szCs w:val="24"/>
          <w:lang w:eastAsia="sl-SI"/>
        </w:rPr>
      </w:pPr>
    </w:p>
    <w:p w14:paraId="187CFD55" w14:textId="77777777" w:rsidR="000A2951" w:rsidRPr="00DC3DC8" w:rsidRDefault="000A2951" w:rsidP="000A2951">
      <w:pPr>
        <w:spacing w:after="0" w:line="240" w:lineRule="auto"/>
        <w:jc w:val="both"/>
        <w:rPr>
          <w:rFonts w:ascii="Calibri" w:eastAsia="Times New Roman" w:hAnsi="Calibri" w:cs="Arial"/>
          <w:bCs/>
          <w:i/>
          <w:iCs/>
          <w:color w:val="0070C0"/>
          <w:lang w:eastAsia="sl-SI"/>
        </w:rPr>
      </w:pPr>
      <w:r w:rsidRPr="00DC3DC8">
        <w:rPr>
          <w:rFonts w:ascii="Calibri" w:eastAsia="Times New Roman" w:hAnsi="Calibri" w:cs="Arial"/>
          <w:bCs/>
          <w:i/>
          <w:iCs/>
          <w:color w:val="0070C0"/>
          <w:lang w:eastAsia="sl-SI"/>
        </w:rPr>
        <w:t>UKC Ljubljana, UKC Maribor, UK Golnik, SB Celje, SB Nova Gorica, SB Novo mesto, SB Slovenj Gradec, SB Jesenice</w:t>
      </w:r>
    </w:p>
    <w:p w14:paraId="0E0F74C8" w14:textId="77777777" w:rsidR="000A2951" w:rsidRPr="00DC3DC8" w:rsidRDefault="000A2951" w:rsidP="000A2951">
      <w:pPr>
        <w:spacing w:after="0" w:line="240" w:lineRule="auto"/>
        <w:jc w:val="both"/>
        <w:rPr>
          <w:rFonts w:ascii="Calibri" w:eastAsia="Times New Roman" w:hAnsi="Calibri" w:cs="Calibri"/>
          <w:lang w:eastAsia="sl-SI"/>
        </w:rPr>
      </w:pPr>
    </w:p>
    <w:p w14:paraId="01FFDA67" w14:textId="77777777" w:rsidR="000A2951" w:rsidRPr="00DC3DC8" w:rsidRDefault="000A2951" w:rsidP="000A2951">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4F6A484E" w14:textId="77777777" w:rsidR="000A2951" w:rsidRPr="00DC3DC8" w:rsidRDefault="000A2951" w:rsidP="000A2951">
      <w:pPr>
        <w:spacing w:after="0" w:line="240" w:lineRule="auto"/>
        <w:jc w:val="both"/>
        <w:rPr>
          <w:rFonts w:ascii="Calibri" w:eastAsia="Times New Roman" w:hAnsi="Calibri" w:cs="Calibri"/>
          <w:lang w:eastAsia="sl-SI"/>
        </w:rPr>
      </w:pPr>
    </w:p>
    <w:p w14:paraId="3B64BC98" w14:textId="77777777" w:rsidR="000A2951" w:rsidRPr="00DC3DC8" w:rsidRDefault="000A2951" w:rsidP="000A2951">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na podlagi</w:t>
      </w:r>
      <w:r w:rsidRPr="00DC3DC8">
        <w:t xml:space="preserve"> </w:t>
      </w:r>
      <w:r w:rsidRPr="00DC3DC8">
        <w:rPr>
          <w:rFonts w:ascii="Calibri" w:eastAsia="Times New Roman" w:hAnsi="Calibri" w:cs="Calibri"/>
          <w:lang w:eastAsia="sl-SI"/>
        </w:rPr>
        <w:t>Uredbe o določitvi programov storitev obveznega zdravstvenega zavarovanja, opredelitev zmogljivosti, potrebnih za njegovo izvajanje, in določitev obsega sredstev za leto 2022 (Uradni list RS, št. 112/2022) z Okrožnico ZAE 13/22 uvedel</w:t>
      </w:r>
      <w:r w:rsidRPr="00DC3DC8">
        <w:t xml:space="preserve"> </w:t>
      </w:r>
      <w:r w:rsidRPr="00DC3DC8">
        <w:rPr>
          <w:rFonts w:ascii="Calibri" w:eastAsia="Times New Roman" w:hAnsi="Calibri" w:cs="Calibri"/>
          <w:lang w:eastAsia="sl-SI"/>
        </w:rPr>
        <w:t xml:space="preserve">plačevanje telemedicinske obravnave pacientov, obolelih s COVID 19, v breme OZZ, in sicer za obdobje opravljenih storitev od 1. 9. 2022 do 31. 12. 2022. </w:t>
      </w:r>
    </w:p>
    <w:p w14:paraId="22A3DF0C" w14:textId="77777777" w:rsidR="000A2951" w:rsidRPr="00DC3DC8" w:rsidRDefault="000A2951" w:rsidP="000A2951">
      <w:pPr>
        <w:spacing w:after="0" w:line="240" w:lineRule="auto"/>
        <w:jc w:val="both"/>
        <w:rPr>
          <w:rFonts w:ascii="Calibri" w:eastAsia="Times New Roman" w:hAnsi="Calibri" w:cs="Calibri"/>
          <w:lang w:eastAsia="sl-SI"/>
        </w:rPr>
      </w:pPr>
    </w:p>
    <w:p w14:paraId="03B0A24F" w14:textId="77777777" w:rsidR="000A2951" w:rsidRPr="00DC3DC8" w:rsidRDefault="000A2951" w:rsidP="000A2951">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Uredba o spremembah in dopolnitvi Uredbe o določitvi programov storitev obveznega zdravstvenega zavarovanja, opredelitev zmogljivosti, potrebnih za njegovo izvajanje, in določitev obsega sredstev za leto 2022 (Uradni list RS, št. 165/2022) ukinja zgoraj navedeno omejitev veljavnosti (31. 12. 2022).</w:t>
      </w:r>
    </w:p>
    <w:p w14:paraId="2A4F6719" w14:textId="77777777" w:rsidR="000A2951" w:rsidRPr="00DC3DC8" w:rsidRDefault="000A2951" w:rsidP="000A2951">
      <w:pPr>
        <w:spacing w:after="0" w:line="240" w:lineRule="auto"/>
        <w:jc w:val="both"/>
        <w:rPr>
          <w:rFonts w:ascii="Calibri" w:eastAsia="Times New Roman" w:hAnsi="Calibri" w:cs="Calibri"/>
          <w:lang w:eastAsia="sl-SI"/>
        </w:rPr>
      </w:pPr>
    </w:p>
    <w:p w14:paraId="4332FEFA" w14:textId="77777777" w:rsidR="000A2951" w:rsidRPr="00DC3DC8" w:rsidRDefault="000A2951" w:rsidP="000A2951">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color w:val="000000"/>
          <w:lang w:eastAsia="sl-SI"/>
        </w:rPr>
        <w:t>Navodilo za obračun</w:t>
      </w:r>
    </w:p>
    <w:p w14:paraId="166C8EF2" w14:textId="77777777" w:rsidR="000A2951" w:rsidRPr="00DC3DC8" w:rsidRDefault="000A2951" w:rsidP="000A2951">
      <w:pPr>
        <w:spacing w:after="0" w:line="240" w:lineRule="auto"/>
        <w:jc w:val="both"/>
        <w:rPr>
          <w:rFonts w:ascii="Calibri" w:eastAsia="Times New Roman" w:hAnsi="Calibri" w:cs="Calibri"/>
          <w:lang w:eastAsia="sl-SI"/>
        </w:rPr>
      </w:pPr>
    </w:p>
    <w:p w14:paraId="5DB49063" w14:textId="77777777" w:rsidR="000A2951" w:rsidRPr="00DC3DC8" w:rsidRDefault="000A2951" w:rsidP="000A2951">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Skladno z navedenim podaljšujemo možnost obračunavanja storitev E0766 »TMO bolnikov s COVID 19 – center« in E0767 »TMO bolnikov s COVID 19 - matična enota«.</w:t>
      </w:r>
    </w:p>
    <w:p w14:paraId="731401D3" w14:textId="77777777" w:rsidR="000A2951" w:rsidRPr="00DC3DC8" w:rsidRDefault="000A2951" w:rsidP="000A2951">
      <w:pPr>
        <w:spacing w:after="0" w:line="240" w:lineRule="auto"/>
        <w:jc w:val="both"/>
        <w:rPr>
          <w:rFonts w:ascii="Calibri" w:eastAsia="Calibri" w:hAnsi="Calibri" w:cs="Arial"/>
          <w:color w:val="000000"/>
        </w:rPr>
      </w:pPr>
    </w:p>
    <w:p w14:paraId="6196F004" w14:textId="77777777" w:rsidR="000A2951" w:rsidRPr="00DC3DC8" w:rsidRDefault="000A2951" w:rsidP="000A2951">
      <w:pPr>
        <w:spacing w:after="0" w:line="240" w:lineRule="auto"/>
        <w:jc w:val="both"/>
        <w:rPr>
          <w:rFonts w:ascii="Calibri" w:eastAsia="Calibri" w:hAnsi="Calibri" w:cs="Arial"/>
          <w:color w:val="000000"/>
        </w:rPr>
      </w:pPr>
    </w:p>
    <w:p w14:paraId="7682A6BC" w14:textId="77777777" w:rsidR="000A2951" w:rsidRPr="00DC3DC8" w:rsidRDefault="000A2951" w:rsidP="000A2951">
      <w:pPr>
        <w:spacing w:after="0" w:line="240" w:lineRule="auto"/>
        <w:jc w:val="both"/>
        <w:rPr>
          <w:rFonts w:ascii="Calibri" w:eastAsia="Calibri" w:hAnsi="Calibri" w:cs="Arial"/>
          <w:color w:val="000000"/>
        </w:rPr>
      </w:pPr>
      <w:r w:rsidRPr="00DC3DC8">
        <w:rPr>
          <w:rFonts w:ascii="Calibri" w:eastAsia="Calibri" w:hAnsi="Calibri" w:cs="Arial"/>
          <w:color w:val="000000"/>
        </w:rPr>
        <w:t>Kontaktna oseba za vsebinska vprašanja:</w:t>
      </w:r>
    </w:p>
    <w:p w14:paraId="0D437FF9" w14:textId="77777777" w:rsidR="000A2951" w:rsidRPr="00DC3DC8" w:rsidRDefault="000A2951" w:rsidP="000A2951">
      <w:pPr>
        <w:widowControl w:val="0"/>
        <w:suppressAutoHyphens/>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Pika Jazbinšek (</w:t>
      </w:r>
      <w:hyperlink r:id="rId20" w:history="1">
        <w:r w:rsidRPr="00DC3DC8">
          <w:rPr>
            <w:rFonts w:ascii="Calibri" w:eastAsia="Times New Roman" w:hAnsi="Calibri" w:cs="Calibri"/>
            <w:noProof/>
            <w:color w:val="0000FF"/>
            <w:u w:val="single"/>
            <w:lang w:eastAsia="sl-SI"/>
          </w:rPr>
          <w:t>pika.jazbinsek@zzzs.si</w:t>
        </w:r>
      </w:hyperlink>
      <w:r w:rsidRPr="00DC3DC8">
        <w:rPr>
          <w:rFonts w:ascii="Calibri" w:eastAsia="Times New Roman" w:hAnsi="Calibri" w:cs="Calibri"/>
          <w:lang w:eastAsia="sl-SI"/>
        </w:rPr>
        <w:t>; 01/30-77-534)</w:t>
      </w:r>
    </w:p>
    <w:p w14:paraId="719128BA" w14:textId="139C499F" w:rsidR="000A2951" w:rsidRPr="00DC3DC8" w:rsidRDefault="000A2951" w:rsidP="00DB6084">
      <w:pPr>
        <w:spacing w:after="0" w:line="240" w:lineRule="auto"/>
      </w:pPr>
    </w:p>
    <w:p w14:paraId="6DC123C3" w14:textId="40EDDF32" w:rsidR="00DB6084" w:rsidRPr="00DC3DC8" w:rsidRDefault="00DB6084" w:rsidP="00DB6084">
      <w:pPr>
        <w:spacing w:after="0" w:line="240" w:lineRule="auto"/>
      </w:pPr>
    </w:p>
    <w:p w14:paraId="00984DBF" w14:textId="6DEB3DEC" w:rsidR="00DB6084" w:rsidRPr="00DC3DC8" w:rsidRDefault="00DB6084" w:rsidP="00DB6084">
      <w:pPr>
        <w:spacing w:after="0" w:line="240" w:lineRule="auto"/>
      </w:pPr>
    </w:p>
    <w:p w14:paraId="74B38703" w14:textId="264F6245" w:rsidR="00DB6084" w:rsidRPr="00DC3DC8" w:rsidRDefault="00DB6084" w:rsidP="00DB6084">
      <w:pPr>
        <w:spacing w:after="0" w:line="240" w:lineRule="auto"/>
      </w:pPr>
    </w:p>
    <w:p w14:paraId="4E79C55C" w14:textId="30954186" w:rsidR="00DB6084" w:rsidRPr="00DC3DC8" w:rsidRDefault="00DB6084" w:rsidP="00DB6084">
      <w:pPr>
        <w:spacing w:after="0" w:line="240" w:lineRule="auto"/>
      </w:pPr>
    </w:p>
    <w:p w14:paraId="68FF891E" w14:textId="2E3C4321" w:rsidR="00DB6084" w:rsidRPr="00DC3DC8" w:rsidRDefault="00DB6084" w:rsidP="00DB6084">
      <w:pPr>
        <w:spacing w:after="0" w:line="240" w:lineRule="auto"/>
      </w:pPr>
    </w:p>
    <w:p w14:paraId="58E80CCC" w14:textId="593FD6B5" w:rsidR="00DB6084" w:rsidRPr="00DC3DC8" w:rsidRDefault="00DB6084" w:rsidP="00DB6084">
      <w:pPr>
        <w:spacing w:after="0" w:line="240" w:lineRule="auto"/>
      </w:pPr>
    </w:p>
    <w:p w14:paraId="011CCD7A" w14:textId="49036E21" w:rsidR="00DB6084" w:rsidRPr="00DC3DC8" w:rsidRDefault="00DB6084" w:rsidP="00DB6084">
      <w:pPr>
        <w:spacing w:after="0" w:line="240" w:lineRule="auto"/>
      </w:pPr>
    </w:p>
    <w:p w14:paraId="23A4B34B" w14:textId="007F183F" w:rsidR="00DB6084" w:rsidRPr="00DC3DC8" w:rsidRDefault="00DB6084" w:rsidP="00DB6084">
      <w:pPr>
        <w:spacing w:after="0" w:line="240" w:lineRule="auto"/>
      </w:pPr>
    </w:p>
    <w:p w14:paraId="26D1CDC1" w14:textId="77777777" w:rsidR="00DB6084" w:rsidRPr="00DC3DC8" w:rsidRDefault="00DB6084" w:rsidP="00DB6084">
      <w:pPr>
        <w:spacing w:after="0" w:line="240" w:lineRule="auto"/>
      </w:pPr>
    </w:p>
    <w:p w14:paraId="2CC37AB4" w14:textId="13A262CA" w:rsidR="00DB6084" w:rsidRPr="00DC3DC8" w:rsidRDefault="00DB6084" w:rsidP="00DB6084">
      <w:pPr>
        <w:spacing w:after="0" w:line="240" w:lineRule="auto"/>
      </w:pPr>
    </w:p>
    <w:p w14:paraId="74B61FBD" w14:textId="77777777" w:rsidR="00DB6084" w:rsidRPr="00DC3DC8" w:rsidRDefault="00DB6084" w:rsidP="00DB608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20" w:name="_Toc125701149"/>
      <w:r w:rsidRPr="00DC3DC8">
        <w:rPr>
          <w:rFonts w:ascii="Calibri" w:eastAsia="Times New Roman" w:hAnsi="Calibri" w:cs="Calibri"/>
          <w:b/>
          <w:color w:val="0070C0"/>
          <w:sz w:val="28"/>
          <w:szCs w:val="28"/>
        </w:rPr>
        <w:lastRenderedPageBreak/>
        <w:t>Obračun dodatka za povečan obseg dela za posebne obremenitve – dopolnitev Okrožnice ZAE 2/23 v točki 2</w:t>
      </w:r>
      <w:bookmarkEnd w:id="20"/>
    </w:p>
    <w:p w14:paraId="09EC83F5" w14:textId="77777777" w:rsidR="00DB6084" w:rsidRPr="00DC3DC8" w:rsidRDefault="00DB6084" w:rsidP="00DB6084">
      <w:pPr>
        <w:spacing w:after="0" w:line="240" w:lineRule="auto"/>
        <w:jc w:val="both"/>
        <w:rPr>
          <w:rFonts w:ascii="Calibri" w:eastAsia="Times New Roman" w:hAnsi="Calibri" w:cs="Arial"/>
          <w:i/>
          <w:color w:val="0070C0"/>
          <w:lang w:eastAsia="sl-SI"/>
        </w:rPr>
      </w:pPr>
    </w:p>
    <w:p w14:paraId="518F0FDD" w14:textId="77777777" w:rsidR="00DB6084" w:rsidRPr="00DC3DC8" w:rsidRDefault="00DB6084" w:rsidP="00DB6084">
      <w:pPr>
        <w:spacing w:after="0" w:line="240" w:lineRule="auto"/>
        <w:jc w:val="both"/>
        <w:rPr>
          <w:rFonts w:ascii="Calibri" w:eastAsia="Times New Roman" w:hAnsi="Calibri" w:cs="Arial"/>
          <w:i/>
          <w:color w:val="0070C0"/>
          <w:lang w:eastAsia="sl-SI"/>
        </w:rPr>
      </w:pPr>
      <w:r w:rsidRPr="00DC3DC8">
        <w:rPr>
          <w:rFonts w:ascii="Calibri" w:eastAsia="Times New Roman" w:hAnsi="Calibri" w:cs="Arial"/>
          <w:i/>
          <w:color w:val="0070C0"/>
          <w:lang w:eastAsia="sl-SI"/>
        </w:rPr>
        <w:t xml:space="preserve">Vsem izvajalcem splošnih ambulant, otroških in šolskih dispanzerjev, dispanzerjev za ženske ter zobozdravstvene </w:t>
      </w:r>
      <w:bookmarkStart w:id="21" w:name="_Hlk124502111"/>
      <w:r w:rsidRPr="00DC3DC8">
        <w:rPr>
          <w:rFonts w:ascii="Calibri" w:eastAsia="Times New Roman" w:hAnsi="Calibri" w:cs="Arial"/>
          <w:i/>
          <w:color w:val="0070C0"/>
          <w:lang w:eastAsia="sl-SI"/>
        </w:rPr>
        <w:t>dejavnosti za odrasle, mladino in študente</w:t>
      </w:r>
      <w:bookmarkEnd w:id="21"/>
    </w:p>
    <w:p w14:paraId="78608486" w14:textId="77777777" w:rsidR="00DB6084" w:rsidRPr="00DC3DC8" w:rsidRDefault="00DB6084" w:rsidP="00DB6084">
      <w:pPr>
        <w:spacing w:after="0" w:line="240" w:lineRule="auto"/>
        <w:jc w:val="both"/>
        <w:rPr>
          <w:rFonts w:ascii="Calibri" w:eastAsia="Times New Roman" w:hAnsi="Calibri" w:cs="Calibri"/>
          <w:lang w:eastAsia="sl-SI"/>
        </w:rPr>
      </w:pPr>
    </w:p>
    <w:p w14:paraId="29C8F075" w14:textId="77777777" w:rsidR="00DB6084" w:rsidRPr="00DC3DC8" w:rsidRDefault="00DB6084" w:rsidP="00DB6084">
      <w:pPr>
        <w:widowControl w:val="0"/>
        <w:suppressAutoHyphens/>
        <w:spacing w:after="0" w:line="240" w:lineRule="auto"/>
        <w:jc w:val="both"/>
        <w:rPr>
          <w:rFonts w:ascii="Calibri" w:eastAsia="Times New Roman" w:hAnsi="Calibri" w:cs="Calibri"/>
          <w:b/>
          <w:bCs/>
          <w:color w:val="000000"/>
          <w:lang w:eastAsia="sl-SI"/>
        </w:rPr>
      </w:pPr>
      <w:r w:rsidRPr="00DC3DC8">
        <w:rPr>
          <w:rFonts w:ascii="Calibri" w:eastAsia="Times New Roman" w:hAnsi="Calibri" w:cs="Calibri"/>
          <w:b/>
          <w:bCs/>
          <w:lang w:eastAsia="sl-SI"/>
        </w:rPr>
        <w:t xml:space="preserve">Povzetek </w:t>
      </w:r>
      <w:r w:rsidRPr="00DC3DC8">
        <w:rPr>
          <w:rFonts w:ascii="Calibri" w:eastAsia="Times New Roman" w:hAnsi="Calibri" w:cs="Calibri"/>
          <w:b/>
          <w:bCs/>
          <w:color w:val="000000"/>
          <w:lang w:eastAsia="sl-SI"/>
        </w:rPr>
        <w:t>vsebine</w:t>
      </w:r>
    </w:p>
    <w:p w14:paraId="1CBD8203" w14:textId="77777777" w:rsidR="00DB6084" w:rsidRPr="00DC3DC8" w:rsidRDefault="00DB6084" w:rsidP="00DB6084">
      <w:pPr>
        <w:spacing w:after="0" w:line="240" w:lineRule="auto"/>
        <w:jc w:val="both"/>
        <w:rPr>
          <w:rFonts w:ascii="Calibri" w:eastAsia="Times New Roman" w:hAnsi="Calibri" w:cs="Calibri"/>
          <w:lang w:eastAsia="sl-SI"/>
        </w:rPr>
      </w:pPr>
    </w:p>
    <w:p w14:paraId="2D3167D6"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Zavod je z Okrožnicama ZAE 17/22 in ZAE 2/23 na podlagi 16. člena Zakona o nujnih ukrepih za zagotovitev stabilnosti zdravstvenega sistema (Uradni list RS, št. 100/2022 in 141/2022) in Uredbe o določitvi višine dodatka za povečan obseg dela za posebne obremenitve in obsega dodatnega zdravstvenega kadra (Uradni list RS, št. 132/2022, 142/2022 in 146/2022) izdal navodilo za posredovanje računov za izplačilo omenjenih dodatkov.</w:t>
      </w:r>
    </w:p>
    <w:p w14:paraId="5B693FCD" w14:textId="77777777" w:rsidR="00DB6084" w:rsidRPr="00DC3DC8" w:rsidRDefault="00DB6084" w:rsidP="00DB6084">
      <w:pPr>
        <w:spacing w:after="0" w:line="240" w:lineRule="auto"/>
        <w:jc w:val="both"/>
        <w:rPr>
          <w:rFonts w:ascii="Calibri" w:eastAsia="Times New Roman" w:hAnsi="Calibri" w:cs="Calibri"/>
          <w:lang w:eastAsia="sl-SI"/>
        </w:rPr>
      </w:pPr>
    </w:p>
    <w:p w14:paraId="6FC18B1D" w14:textId="49DC976A"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Zaradi napake v formuli</w:t>
      </w:r>
      <w:r w:rsidR="00177EF1">
        <w:rPr>
          <w:rFonts w:ascii="Calibri" w:eastAsia="Times New Roman" w:hAnsi="Calibri" w:cs="Calibri"/>
          <w:lang w:eastAsia="sl-SI"/>
        </w:rPr>
        <w:t xml:space="preserve"> </w:t>
      </w:r>
      <w:r w:rsidRPr="00DC3DC8">
        <w:rPr>
          <w:rFonts w:ascii="Calibri" w:eastAsia="Times New Roman" w:hAnsi="Calibri" w:cs="Calibri"/>
          <w:lang w:eastAsia="sl-SI"/>
        </w:rPr>
        <w:t>v Prilogi 2</w:t>
      </w:r>
      <w:r w:rsidRPr="00DC3DC8">
        <w:t xml:space="preserve"> »</w:t>
      </w:r>
      <w:r w:rsidRPr="00DC3DC8">
        <w:rPr>
          <w:rFonts w:ascii="Calibri" w:eastAsia="Times New Roman" w:hAnsi="Calibri" w:cs="Calibri"/>
          <w:lang w:eastAsia="sl-SI"/>
        </w:rPr>
        <w:t>Vzorec razčlenjenih vrednosti po posameznih dejavnostih« Okrožnice ZAE 2/23, navedeni vzorec v Prilogi 2 te okrožnice objavljamo še enkrat.</w:t>
      </w:r>
    </w:p>
    <w:p w14:paraId="6F02CA19" w14:textId="77777777" w:rsidR="00DB6084" w:rsidRPr="00DC3DC8" w:rsidRDefault="00DB6084" w:rsidP="00DB6084">
      <w:pPr>
        <w:spacing w:after="0" w:line="240" w:lineRule="auto"/>
        <w:jc w:val="both"/>
        <w:rPr>
          <w:rFonts w:ascii="Calibri" w:eastAsia="Times New Roman" w:hAnsi="Calibri" w:cs="Calibri"/>
          <w:lang w:eastAsia="sl-SI"/>
        </w:rPr>
      </w:pPr>
    </w:p>
    <w:p w14:paraId="591016F1"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Vsa ostala navodila iz Okrožnice ZAE 2/23 ostajajo enaka.</w:t>
      </w:r>
    </w:p>
    <w:p w14:paraId="594D111D" w14:textId="77777777" w:rsidR="00DB6084" w:rsidRPr="00DC3DC8" w:rsidRDefault="00DB6084" w:rsidP="00DB6084">
      <w:pPr>
        <w:spacing w:after="0" w:line="240" w:lineRule="auto"/>
        <w:jc w:val="both"/>
        <w:rPr>
          <w:rFonts w:ascii="Calibri" w:eastAsia="Times New Roman" w:hAnsi="Calibri" w:cs="Calibri"/>
          <w:lang w:eastAsia="sl-SI"/>
        </w:rPr>
      </w:pPr>
    </w:p>
    <w:p w14:paraId="7C965F25" w14:textId="77777777" w:rsidR="00DB6084" w:rsidRPr="00DC3DC8" w:rsidRDefault="00DB6084" w:rsidP="00DB6084">
      <w:pPr>
        <w:spacing w:after="0" w:line="240" w:lineRule="auto"/>
        <w:jc w:val="both"/>
        <w:rPr>
          <w:rFonts w:ascii="Calibri" w:eastAsia="Times New Roman" w:hAnsi="Calibri" w:cs="Calibri"/>
          <w:lang w:eastAsia="sl-SI"/>
        </w:rPr>
      </w:pPr>
    </w:p>
    <w:p w14:paraId="2FCD17F0" w14:textId="77777777" w:rsidR="00DB6084" w:rsidRPr="00DC3DC8" w:rsidRDefault="00DB6084" w:rsidP="00DB6084">
      <w:pPr>
        <w:spacing w:after="0" w:line="240" w:lineRule="auto"/>
        <w:jc w:val="both"/>
        <w:rPr>
          <w:rFonts w:ascii="Calibri" w:eastAsia="Times New Roman" w:hAnsi="Calibri" w:cs="Calibri"/>
          <w:lang w:eastAsia="sl-SI"/>
        </w:rPr>
      </w:pPr>
    </w:p>
    <w:p w14:paraId="6A1C11A6"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Kontaktne osebe za vsebinska vprašanja:</w:t>
      </w:r>
    </w:p>
    <w:p w14:paraId="51DE07BD"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Darija Muren (darija.muren@zzzs.si; 01/30-77-608)</w:t>
      </w:r>
    </w:p>
    <w:p w14:paraId="4DDBAFDB"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Nataša Hočevar (natasa.hocevar@zzzs.si; 07/49-02-438)</w:t>
      </w:r>
    </w:p>
    <w:p w14:paraId="7FF6485C"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Kornelija Krašovc (kornelija.krasovc@zzzs.si; 02/29-09-380)</w:t>
      </w:r>
    </w:p>
    <w:p w14:paraId="2642EF87" w14:textId="77777777" w:rsidR="00DB6084" w:rsidRPr="00DC3DC8"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Alma Crnkić (alma.crnkic@zzzs.si; 04/23-70-414)</w:t>
      </w:r>
    </w:p>
    <w:p w14:paraId="70EBDC7D" w14:textId="77777777" w:rsidR="00DB6084" w:rsidRPr="002F55FF" w:rsidRDefault="00DB6084" w:rsidP="00DB6084">
      <w:pPr>
        <w:spacing w:after="0" w:line="240" w:lineRule="auto"/>
        <w:jc w:val="both"/>
        <w:rPr>
          <w:rFonts w:ascii="Calibri" w:eastAsia="Times New Roman" w:hAnsi="Calibri" w:cs="Calibri"/>
          <w:lang w:eastAsia="sl-SI"/>
        </w:rPr>
      </w:pPr>
      <w:r w:rsidRPr="00DC3DC8">
        <w:rPr>
          <w:rFonts w:ascii="Calibri" w:eastAsia="Times New Roman" w:hAnsi="Calibri" w:cs="Calibri"/>
          <w:lang w:eastAsia="sl-SI"/>
        </w:rPr>
        <w:t>Andreja Mavčič (andreja.mavcic@zzzs.si; 01/30-77-501))</w:t>
      </w:r>
    </w:p>
    <w:p w14:paraId="2376AE6F" w14:textId="77777777" w:rsidR="00DB6084" w:rsidRDefault="00DB6084" w:rsidP="00DB6084">
      <w:pPr>
        <w:spacing w:after="0" w:line="240" w:lineRule="auto"/>
        <w:jc w:val="both"/>
        <w:rPr>
          <w:rFonts w:ascii="Calibri" w:eastAsia="Times New Roman" w:hAnsi="Calibri" w:cs="Calibri"/>
          <w:lang w:eastAsia="sl-SI"/>
        </w:rPr>
      </w:pPr>
    </w:p>
    <w:p w14:paraId="57B48CCA" w14:textId="77777777" w:rsidR="00DB6084" w:rsidRPr="00713F16" w:rsidRDefault="00DB6084" w:rsidP="00DB6084">
      <w:pPr>
        <w:spacing w:after="0" w:line="240" w:lineRule="auto"/>
      </w:pPr>
    </w:p>
    <w:bookmarkEnd w:id="1"/>
    <w:bookmarkEnd w:id="2"/>
    <w:bookmarkEnd w:id="3"/>
    <w:p w14:paraId="499AA779" w14:textId="77777777" w:rsidR="000A2951" w:rsidRPr="00DB6084" w:rsidRDefault="000A2951" w:rsidP="00DB6084">
      <w:pPr>
        <w:spacing w:after="0" w:line="240" w:lineRule="auto"/>
      </w:pPr>
    </w:p>
    <w:sectPr w:rsidR="000A2951" w:rsidRPr="00DB6084" w:rsidSect="00E03CA1">
      <w:headerReference w:type="default" r:id="rId21"/>
      <w:footerReference w:type="default" r:id="rId22"/>
      <w:headerReference w:type="first" r:id="rId23"/>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12FB" w14:textId="77777777" w:rsidR="00DE00A5" w:rsidRDefault="00DE00A5">
      <w:pPr>
        <w:spacing w:after="0" w:line="240" w:lineRule="auto"/>
      </w:pPr>
      <w:r>
        <w:separator/>
      </w:r>
    </w:p>
  </w:endnote>
  <w:endnote w:type="continuationSeparator" w:id="0">
    <w:p w14:paraId="40C6A6E7" w14:textId="77777777" w:rsidR="00DE00A5" w:rsidRDefault="00D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A9A" w14:textId="77777777" w:rsidR="003200AC" w:rsidRDefault="00177EF1"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0D28" w14:textId="77777777" w:rsidR="003200AC" w:rsidRPr="00F84D15" w:rsidRDefault="007E7677"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77388C0" w14:textId="77777777" w:rsidR="003200AC" w:rsidRPr="00A70A5D" w:rsidRDefault="00177EF1">
    <w:pPr>
      <w:pStyle w:val="Noga"/>
      <w:jc w:val="center"/>
      <w:rPr>
        <w:sz w:val="18"/>
      </w:rPr>
    </w:pPr>
  </w:p>
  <w:p w14:paraId="56522A0E" w14:textId="77777777" w:rsidR="003200AC" w:rsidRDefault="00177EF1"/>
  <w:p w14:paraId="2924420A" w14:textId="77777777" w:rsidR="003200AC" w:rsidRDefault="0017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AFC" w14:textId="77777777" w:rsidR="00DE00A5" w:rsidRDefault="00DE00A5">
      <w:pPr>
        <w:spacing w:after="0" w:line="240" w:lineRule="auto"/>
      </w:pPr>
      <w:r>
        <w:separator/>
      </w:r>
    </w:p>
  </w:footnote>
  <w:footnote w:type="continuationSeparator" w:id="0">
    <w:p w14:paraId="2C53139C" w14:textId="77777777" w:rsidR="00DE00A5" w:rsidRDefault="00DE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37776757" w14:textId="77777777" w:rsidTr="00093001">
      <w:trPr>
        <w:trHeight w:hRule="exact" w:val="907"/>
      </w:trPr>
      <w:tc>
        <w:tcPr>
          <w:tcW w:w="2839" w:type="dxa"/>
          <w:shd w:val="clear" w:color="auto" w:fill="auto"/>
        </w:tcPr>
        <w:p w14:paraId="7A06B807" w14:textId="77777777" w:rsidR="003200AC" w:rsidRPr="007B6600" w:rsidRDefault="007E7677" w:rsidP="00093001">
          <w:pPr>
            <w:pStyle w:val="Glava"/>
            <w:ind w:left="-108"/>
          </w:pPr>
          <w:r>
            <w:rPr>
              <w:noProof/>
              <w:lang w:eastAsia="sl-SI"/>
            </w:rPr>
            <w:drawing>
              <wp:inline distT="0" distB="0" distL="0" distR="0" wp14:anchorId="5BE968C6" wp14:editId="246550C5">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ECEEB7C" w14:textId="77777777" w:rsidR="003200AC" w:rsidRPr="007B6600" w:rsidRDefault="007E7677"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132CF97F" w14:textId="224CBA84" w:rsidR="003200AC" w:rsidRPr="007B6600" w:rsidRDefault="00134519" w:rsidP="00093001">
          <w:pPr>
            <w:pStyle w:val="Glava"/>
            <w:jc w:val="center"/>
          </w:pPr>
          <w:r w:rsidRPr="0091542D">
            <w:rPr>
              <w:rFonts w:ascii="Calibri" w:eastAsia="Calibri" w:hAnsi="Calibri" w:cs="Times New Roman"/>
              <w:noProof/>
              <w:lang w:eastAsia="sl-SI"/>
            </w:rPr>
            <w:drawing>
              <wp:inline distT="0" distB="0" distL="0" distR="0" wp14:anchorId="749C2A33" wp14:editId="260BD4F9">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3F6C43F2" w14:textId="77777777" w:rsidR="003200AC" w:rsidRPr="007B6600" w:rsidRDefault="00177EF1" w:rsidP="00093001">
          <w:pPr>
            <w:pStyle w:val="Glava"/>
            <w:jc w:val="right"/>
          </w:pPr>
        </w:p>
      </w:tc>
    </w:tr>
    <w:tr w:rsidR="003200AC" w:rsidRPr="007B6600" w14:paraId="67036FF4" w14:textId="77777777" w:rsidTr="00093001">
      <w:trPr>
        <w:trHeight w:hRule="exact" w:val="113"/>
      </w:trPr>
      <w:tc>
        <w:tcPr>
          <w:tcW w:w="2839" w:type="dxa"/>
          <w:shd w:val="clear" w:color="auto" w:fill="auto"/>
        </w:tcPr>
        <w:p w14:paraId="7AC458EE" w14:textId="77777777" w:rsidR="003200AC" w:rsidRPr="00CE24E4" w:rsidRDefault="00177EF1" w:rsidP="00093001">
          <w:pPr>
            <w:pStyle w:val="Glava"/>
            <w:ind w:left="-108"/>
            <w:rPr>
              <w:b/>
              <w:noProof/>
              <w:lang w:eastAsia="sl-SI"/>
            </w:rPr>
          </w:pPr>
        </w:p>
      </w:tc>
      <w:tc>
        <w:tcPr>
          <w:tcW w:w="2840" w:type="dxa"/>
          <w:vMerge/>
          <w:shd w:val="clear" w:color="auto" w:fill="auto"/>
        </w:tcPr>
        <w:p w14:paraId="5994AAFB" w14:textId="77777777" w:rsidR="003200AC" w:rsidRPr="007B6600" w:rsidRDefault="00177EF1" w:rsidP="00093001">
          <w:pPr>
            <w:pStyle w:val="Glava"/>
            <w:jc w:val="center"/>
            <w:rPr>
              <w:noProof/>
              <w:lang w:eastAsia="sl-SI"/>
            </w:rPr>
          </w:pPr>
        </w:p>
      </w:tc>
      <w:tc>
        <w:tcPr>
          <w:tcW w:w="2825" w:type="dxa"/>
          <w:shd w:val="clear" w:color="auto" w:fill="auto"/>
          <w:tcMar>
            <w:left w:w="0" w:type="dxa"/>
          </w:tcMar>
        </w:tcPr>
        <w:p w14:paraId="3770373A" w14:textId="77777777" w:rsidR="003200AC" w:rsidRPr="007B6600" w:rsidRDefault="00177EF1" w:rsidP="00093001">
          <w:pPr>
            <w:pStyle w:val="Glava"/>
          </w:pPr>
        </w:p>
      </w:tc>
    </w:tr>
    <w:tr w:rsidR="003200AC" w:rsidRPr="00BA612C" w14:paraId="12EC9146" w14:textId="77777777" w:rsidTr="00093001">
      <w:tc>
        <w:tcPr>
          <w:tcW w:w="5679" w:type="dxa"/>
          <w:gridSpan w:val="2"/>
          <w:shd w:val="clear" w:color="auto" w:fill="auto"/>
        </w:tcPr>
        <w:p w14:paraId="09EAD336" w14:textId="77777777" w:rsidR="003200AC" w:rsidRDefault="007E7677" w:rsidP="00093001">
          <w:pPr>
            <w:pStyle w:val="Ulica"/>
            <w:ind w:left="-108"/>
            <w:rPr>
              <w:b/>
            </w:rPr>
          </w:pPr>
          <w:r w:rsidRPr="00A25A3B">
            <w:rPr>
              <w:b/>
            </w:rPr>
            <w:t>Direkcija</w:t>
          </w:r>
        </w:p>
        <w:p w14:paraId="10B583DB" w14:textId="77777777" w:rsidR="003200AC" w:rsidRPr="00BA612C" w:rsidRDefault="007E7677" w:rsidP="00093001">
          <w:pPr>
            <w:pStyle w:val="Ulica"/>
            <w:ind w:left="-108"/>
          </w:pPr>
          <w:r>
            <w:t>Miklošičeva cesta 24</w:t>
          </w:r>
        </w:p>
        <w:p w14:paraId="1E9015BE" w14:textId="77777777" w:rsidR="003200AC" w:rsidRPr="00BA612C" w:rsidRDefault="007E7677" w:rsidP="00093001">
          <w:pPr>
            <w:pStyle w:val="Ulica"/>
            <w:ind w:left="-108"/>
            <w:rPr>
              <w:lang w:eastAsia="sl-SI"/>
            </w:rPr>
          </w:pPr>
          <w:r>
            <w:t>1000 Ljubljana</w:t>
          </w:r>
        </w:p>
      </w:tc>
      <w:tc>
        <w:tcPr>
          <w:tcW w:w="2825" w:type="dxa"/>
          <w:shd w:val="clear" w:color="auto" w:fill="auto"/>
          <w:tcMar>
            <w:left w:w="0" w:type="dxa"/>
          </w:tcMar>
        </w:tcPr>
        <w:p w14:paraId="189EE1CF" w14:textId="77777777" w:rsidR="003200AC" w:rsidRDefault="007E7677" w:rsidP="00093001">
          <w:pPr>
            <w:pStyle w:val="Glava"/>
            <w:spacing w:line="240" w:lineRule="exact"/>
            <w:rPr>
              <w:noProof/>
            </w:rPr>
          </w:pPr>
          <w:r w:rsidRPr="00BA612C">
            <w:t xml:space="preserve">Tel.: </w:t>
          </w:r>
          <w:r>
            <w:rPr>
              <w:noProof/>
            </w:rPr>
            <w:t>01 30 77 296</w:t>
          </w:r>
        </w:p>
        <w:p w14:paraId="22497620" w14:textId="77777777" w:rsidR="003200AC" w:rsidRPr="00BA612C" w:rsidRDefault="007E7677" w:rsidP="00093001">
          <w:pPr>
            <w:pStyle w:val="Glava"/>
            <w:spacing w:line="240" w:lineRule="exact"/>
            <w:rPr>
              <w:noProof/>
            </w:rPr>
          </w:pPr>
          <w:r>
            <w:rPr>
              <w:noProof/>
            </w:rPr>
            <w:t>Fax: 01 23 12 182</w:t>
          </w:r>
        </w:p>
        <w:p w14:paraId="77457EBE" w14:textId="77777777" w:rsidR="003200AC" w:rsidRPr="00BA612C" w:rsidRDefault="007E7677" w:rsidP="00093001">
          <w:pPr>
            <w:pStyle w:val="Glava"/>
            <w:spacing w:line="240" w:lineRule="exact"/>
          </w:pPr>
          <w:r w:rsidRPr="00BA612C">
            <w:t xml:space="preserve">E-pošta: </w:t>
          </w:r>
          <w:r>
            <w:rPr>
              <w:noProof/>
            </w:rPr>
            <w:t>di@zzzs.si</w:t>
          </w:r>
        </w:p>
        <w:p w14:paraId="401C260D" w14:textId="77777777" w:rsidR="003200AC" w:rsidRPr="00BA612C" w:rsidRDefault="007E7677" w:rsidP="00093001">
          <w:pPr>
            <w:pStyle w:val="Glava"/>
            <w:spacing w:line="240" w:lineRule="exact"/>
          </w:pPr>
          <w:r w:rsidRPr="00BA612C">
            <w:t>www.zzzs.si</w:t>
          </w:r>
        </w:p>
      </w:tc>
    </w:tr>
  </w:tbl>
  <w:p w14:paraId="188DE806" w14:textId="77777777" w:rsidR="003200AC" w:rsidRPr="00BA612C" w:rsidRDefault="00177EF1"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746" w14:textId="77777777" w:rsidR="003200AC" w:rsidRDefault="00177EF1">
    <w:pPr>
      <w:pStyle w:val="Glava"/>
    </w:pPr>
  </w:p>
  <w:p w14:paraId="29C61C82" w14:textId="77777777" w:rsidR="003200AC" w:rsidRDefault="00177E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6D2" w14:textId="77777777" w:rsidR="003200AC" w:rsidRPr="00CF3B25" w:rsidRDefault="00177EF1"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184"/>
    <w:multiLevelType w:val="hybridMultilevel"/>
    <w:tmpl w:val="34DC4A3E"/>
    <w:lvl w:ilvl="0" w:tplc="E392F1F6">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5906D4"/>
    <w:multiLevelType w:val="hybridMultilevel"/>
    <w:tmpl w:val="E0EC434A"/>
    <w:lvl w:ilvl="0" w:tplc="0572213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93B14"/>
    <w:multiLevelType w:val="hybridMultilevel"/>
    <w:tmpl w:val="5B04FDFE"/>
    <w:lvl w:ilvl="0" w:tplc="2F0436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3B2EE7"/>
    <w:multiLevelType w:val="hybridMultilevel"/>
    <w:tmpl w:val="4DC01FF2"/>
    <w:lvl w:ilvl="0" w:tplc="1E4A50D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472E13"/>
    <w:multiLevelType w:val="hybridMultilevel"/>
    <w:tmpl w:val="147A0090"/>
    <w:lvl w:ilvl="0" w:tplc="5352EB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7D3491"/>
    <w:multiLevelType w:val="hybridMultilevel"/>
    <w:tmpl w:val="E85009A2"/>
    <w:lvl w:ilvl="0" w:tplc="98F438F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2334C5"/>
    <w:multiLevelType w:val="hybridMultilevel"/>
    <w:tmpl w:val="6FBCEE5C"/>
    <w:lvl w:ilvl="0" w:tplc="436A8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5601E8"/>
    <w:multiLevelType w:val="hybridMultilevel"/>
    <w:tmpl w:val="8162FF00"/>
    <w:lvl w:ilvl="0" w:tplc="BB5412D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E267C4"/>
    <w:multiLevelType w:val="hybridMultilevel"/>
    <w:tmpl w:val="1452CEC4"/>
    <w:lvl w:ilvl="0" w:tplc="8BF6024A">
      <w:numFmt w:val="bullet"/>
      <w:lvlText w:val="-"/>
      <w:lvlJc w:val="left"/>
      <w:pPr>
        <w:ind w:left="360" w:hanging="360"/>
      </w:pPr>
      <w:rPr>
        <w:rFonts w:ascii="Segoe UI" w:eastAsiaTheme="minorHAnsi" w:hAnsi="Segoe UI" w:cs="Segoe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FD00CA"/>
    <w:multiLevelType w:val="hybridMultilevel"/>
    <w:tmpl w:val="693A3900"/>
    <w:lvl w:ilvl="0" w:tplc="FD00A0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BF3648"/>
    <w:multiLevelType w:val="hybridMultilevel"/>
    <w:tmpl w:val="990269E2"/>
    <w:lvl w:ilvl="0" w:tplc="0EA4E50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6420B2"/>
    <w:multiLevelType w:val="hybridMultilevel"/>
    <w:tmpl w:val="ECA888D6"/>
    <w:lvl w:ilvl="0" w:tplc="BCCC87FA">
      <w:numFmt w:val="bullet"/>
      <w:lvlText w:val="-"/>
      <w:lvlJc w:val="left"/>
      <w:pPr>
        <w:ind w:left="2136" w:hanging="360"/>
      </w:pPr>
      <w:rPr>
        <w:rFonts w:ascii="Arial Narrow" w:eastAsia="Times New Roman" w:hAnsi="Arial Narrow"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15:restartNumberingAfterBreak="0">
    <w:nsid w:val="5B4521DF"/>
    <w:multiLevelType w:val="hybridMultilevel"/>
    <w:tmpl w:val="DDA6D3FC"/>
    <w:lvl w:ilvl="0" w:tplc="57ACC736">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DA24CE"/>
    <w:multiLevelType w:val="hybridMultilevel"/>
    <w:tmpl w:val="29CCC7C6"/>
    <w:lvl w:ilvl="0" w:tplc="C6F4F3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0"/>
  </w:num>
  <w:num w:numId="5">
    <w:abstractNumId w:val="17"/>
  </w:num>
  <w:num w:numId="6">
    <w:abstractNumId w:val="13"/>
  </w:num>
  <w:num w:numId="7">
    <w:abstractNumId w:val="14"/>
  </w:num>
  <w:num w:numId="8">
    <w:abstractNumId w:val="2"/>
  </w:num>
  <w:num w:numId="9">
    <w:abstractNumId w:val="11"/>
  </w:num>
  <w:num w:numId="10">
    <w:abstractNumId w:val="5"/>
  </w:num>
  <w:num w:numId="11">
    <w:abstractNumId w:val="6"/>
  </w:num>
  <w:num w:numId="12">
    <w:abstractNumId w:val="7"/>
  </w:num>
  <w:num w:numId="13">
    <w:abstractNumId w:val="0"/>
  </w:num>
  <w:num w:numId="14">
    <w:abstractNumId w:val="8"/>
  </w:num>
  <w:num w:numId="15">
    <w:abstractNumId w:val="1"/>
  </w:num>
  <w:num w:numId="16">
    <w:abstractNumId w:val="12"/>
  </w:num>
  <w:num w:numId="17">
    <w:abstractNumId w:val="9"/>
  </w:num>
  <w:num w:numId="18">
    <w:abstractNumId w:val="15"/>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6F"/>
    <w:rsid w:val="00000091"/>
    <w:rsid w:val="00000E80"/>
    <w:rsid w:val="0000254E"/>
    <w:rsid w:val="000125D9"/>
    <w:rsid w:val="0002351C"/>
    <w:rsid w:val="000241A0"/>
    <w:rsid w:val="00037C2D"/>
    <w:rsid w:val="0004296D"/>
    <w:rsid w:val="000470C3"/>
    <w:rsid w:val="0005074B"/>
    <w:rsid w:val="000650D2"/>
    <w:rsid w:val="00080CE1"/>
    <w:rsid w:val="00081C70"/>
    <w:rsid w:val="00084987"/>
    <w:rsid w:val="00085710"/>
    <w:rsid w:val="000A2951"/>
    <w:rsid w:val="000A4A3A"/>
    <w:rsid w:val="000C7F82"/>
    <w:rsid w:val="000F5A66"/>
    <w:rsid w:val="0010677E"/>
    <w:rsid w:val="0012135C"/>
    <w:rsid w:val="00126486"/>
    <w:rsid w:val="00134519"/>
    <w:rsid w:val="00136E31"/>
    <w:rsid w:val="00150849"/>
    <w:rsid w:val="001648EA"/>
    <w:rsid w:val="0016514C"/>
    <w:rsid w:val="00175780"/>
    <w:rsid w:val="00177EF1"/>
    <w:rsid w:val="00192545"/>
    <w:rsid w:val="00197183"/>
    <w:rsid w:val="001B41B6"/>
    <w:rsid w:val="001E00D4"/>
    <w:rsid w:val="001E5ACA"/>
    <w:rsid w:val="001F108B"/>
    <w:rsid w:val="001F5519"/>
    <w:rsid w:val="002129AA"/>
    <w:rsid w:val="0023262B"/>
    <w:rsid w:val="00253677"/>
    <w:rsid w:val="002541C9"/>
    <w:rsid w:val="002602BE"/>
    <w:rsid w:val="00262301"/>
    <w:rsid w:val="00270C2B"/>
    <w:rsid w:val="00274728"/>
    <w:rsid w:val="00276B60"/>
    <w:rsid w:val="00276FEE"/>
    <w:rsid w:val="002853CB"/>
    <w:rsid w:val="00285D5C"/>
    <w:rsid w:val="00293610"/>
    <w:rsid w:val="002A1805"/>
    <w:rsid w:val="002B5A66"/>
    <w:rsid w:val="002B6242"/>
    <w:rsid w:val="002C648E"/>
    <w:rsid w:val="002E368D"/>
    <w:rsid w:val="002E6C09"/>
    <w:rsid w:val="00313353"/>
    <w:rsid w:val="0032191F"/>
    <w:rsid w:val="003364B8"/>
    <w:rsid w:val="003606FA"/>
    <w:rsid w:val="00362458"/>
    <w:rsid w:val="00364F0C"/>
    <w:rsid w:val="00365DEE"/>
    <w:rsid w:val="0036769F"/>
    <w:rsid w:val="003801B9"/>
    <w:rsid w:val="0038299D"/>
    <w:rsid w:val="00391070"/>
    <w:rsid w:val="003A3DF6"/>
    <w:rsid w:val="003A4801"/>
    <w:rsid w:val="003A4BEB"/>
    <w:rsid w:val="003C23D1"/>
    <w:rsid w:val="003C4F5F"/>
    <w:rsid w:val="003D3BDE"/>
    <w:rsid w:val="003D7A11"/>
    <w:rsid w:val="003E2600"/>
    <w:rsid w:val="003E6D82"/>
    <w:rsid w:val="003F7170"/>
    <w:rsid w:val="00402BAA"/>
    <w:rsid w:val="004219DF"/>
    <w:rsid w:val="004231F6"/>
    <w:rsid w:val="00430646"/>
    <w:rsid w:val="004623E9"/>
    <w:rsid w:val="004628C6"/>
    <w:rsid w:val="004631E9"/>
    <w:rsid w:val="00466410"/>
    <w:rsid w:val="0046751F"/>
    <w:rsid w:val="00480151"/>
    <w:rsid w:val="00496712"/>
    <w:rsid w:val="004A6F9D"/>
    <w:rsid w:val="004A7072"/>
    <w:rsid w:val="004C3D08"/>
    <w:rsid w:val="004D02B4"/>
    <w:rsid w:val="004D6FED"/>
    <w:rsid w:val="004E3DA2"/>
    <w:rsid w:val="005001F2"/>
    <w:rsid w:val="00505EED"/>
    <w:rsid w:val="005131A4"/>
    <w:rsid w:val="00541AB7"/>
    <w:rsid w:val="00544074"/>
    <w:rsid w:val="00547F5D"/>
    <w:rsid w:val="00555268"/>
    <w:rsid w:val="00564579"/>
    <w:rsid w:val="00591326"/>
    <w:rsid w:val="0059591B"/>
    <w:rsid w:val="005A5D75"/>
    <w:rsid w:val="005B1C39"/>
    <w:rsid w:val="005C4EA4"/>
    <w:rsid w:val="005C7CC4"/>
    <w:rsid w:val="005D4F48"/>
    <w:rsid w:val="005E1A44"/>
    <w:rsid w:val="005F1821"/>
    <w:rsid w:val="005F3739"/>
    <w:rsid w:val="005F5B43"/>
    <w:rsid w:val="00602929"/>
    <w:rsid w:val="00606335"/>
    <w:rsid w:val="00611CAC"/>
    <w:rsid w:val="00612278"/>
    <w:rsid w:val="00621241"/>
    <w:rsid w:val="006359C6"/>
    <w:rsid w:val="00637C79"/>
    <w:rsid w:val="0064392E"/>
    <w:rsid w:val="006462F7"/>
    <w:rsid w:val="0066187A"/>
    <w:rsid w:val="00665748"/>
    <w:rsid w:val="00666A73"/>
    <w:rsid w:val="00681118"/>
    <w:rsid w:val="006815B3"/>
    <w:rsid w:val="006944D9"/>
    <w:rsid w:val="00695985"/>
    <w:rsid w:val="006B298C"/>
    <w:rsid w:val="006B6D29"/>
    <w:rsid w:val="006B776E"/>
    <w:rsid w:val="006D12A6"/>
    <w:rsid w:val="006D4F91"/>
    <w:rsid w:val="006E5753"/>
    <w:rsid w:val="006F45B5"/>
    <w:rsid w:val="00703461"/>
    <w:rsid w:val="00712F7B"/>
    <w:rsid w:val="00713F16"/>
    <w:rsid w:val="00721265"/>
    <w:rsid w:val="00726CBD"/>
    <w:rsid w:val="0073028F"/>
    <w:rsid w:val="00734740"/>
    <w:rsid w:val="00751EBE"/>
    <w:rsid w:val="00753E2A"/>
    <w:rsid w:val="007556CE"/>
    <w:rsid w:val="0076384C"/>
    <w:rsid w:val="00780C98"/>
    <w:rsid w:val="00790EFE"/>
    <w:rsid w:val="007B7AA7"/>
    <w:rsid w:val="007C7A71"/>
    <w:rsid w:val="007D5F98"/>
    <w:rsid w:val="007E1FDC"/>
    <w:rsid w:val="007E63BA"/>
    <w:rsid w:val="007E7677"/>
    <w:rsid w:val="007F076F"/>
    <w:rsid w:val="007F41A6"/>
    <w:rsid w:val="0080462B"/>
    <w:rsid w:val="00845BC7"/>
    <w:rsid w:val="0085025D"/>
    <w:rsid w:val="00862827"/>
    <w:rsid w:val="00872A83"/>
    <w:rsid w:val="00880054"/>
    <w:rsid w:val="008816A7"/>
    <w:rsid w:val="008866EF"/>
    <w:rsid w:val="00887AEC"/>
    <w:rsid w:val="00890B32"/>
    <w:rsid w:val="008B04D7"/>
    <w:rsid w:val="008B1E44"/>
    <w:rsid w:val="008B4096"/>
    <w:rsid w:val="008C1414"/>
    <w:rsid w:val="008C45E2"/>
    <w:rsid w:val="008C534B"/>
    <w:rsid w:val="008E38A4"/>
    <w:rsid w:val="008F0D3D"/>
    <w:rsid w:val="008F2230"/>
    <w:rsid w:val="00907090"/>
    <w:rsid w:val="00913E02"/>
    <w:rsid w:val="009347B9"/>
    <w:rsid w:val="00941C59"/>
    <w:rsid w:val="00944FF1"/>
    <w:rsid w:val="0096026C"/>
    <w:rsid w:val="00963660"/>
    <w:rsid w:val="0098614B"/>
    <w:rsid w:val="009861FE"/>
    <w:rsid w:val="00987E28"/>
    <w:rsid w:val="009956D0"/>
    <w:rsid w:val="009B0816"/>
    <w:rsid w:val="009C3712"/>
    <w:rsid w:val="009C5565"/>
    <w:rsid w:val="009F3532"/>
    <w:rsid w:val="00A22601"/>
    <w:rsid w:val="00A22EA2"/>
    <w:rsid w:val="00A32790"/>
    <w:rsid w:val="00A346A8"/>
    <w:rsid w:val="00A34C9C"/>
    <w:rsid w:val="00A360E5"/>
    <w:rsid w:val="00A4122A"/>
    <w:rsid w:val="00A449BF"/>
    <w:rsid w:val="00A50853"/>
    <w:rsid w:val="00A56EBB"/>
    <w:rsid w:val="00A76C2A"/>
    <w:rsid w:val="00A81EB8"/>
    <w:rsid w:val="00A95DE1"/>
    <w:rsid w:val="00AA55C3"/>
    <w:rsid w:val="00AA567F"/>
    <w:rsid w:val="00AA5F5E"/>
    <w:rsid w:val="00AA671F"/>
    <w:rsid w:val="00AC2164"/>
    <w:rsid w:val="00AD3995"/>
    <w:rsid w:val="00AE2101"/>
    <w:rsid w:val="00AE2B08"/>
    <w:rsid w:val="00AF0DBA"/>
    <w:rsid w:val="00AF29E6"/>
    <w:rsid w:val="00B11683"/>
    <w:rsid w:val="00B402EA"/>
    <w:rsid w:val="00B4253D"/>
    <w:rsid w:val="00B43674"/>
    <w:rsid w:val="00B628B3"/>
    <w:rsid w:val="00B747B6"/>
    <w:rsid w:val="00B84E35"/>
    <w:rsid w:val="00B8559A"/>
    <w:rsid w:val="00B93AE8"/>
    <w:rsid w:val="00B95451"/>
    <w:rsid w:val="00B95F9F"/>
    <w:rsid w:val="00B97147"/>
    <w:rsid w:val="00BA650A"/>
    <w:rsid w:val="00BC6E67"/>
    <w:rsid w:val="00BD4E59"/>
    <w:rsid w:val="00BD5551"/>
    <w:rsid w:val="00BE6EC7"/>
    <w:rsid w:val="00BF0DAF"/>
    <w:rsid w:val="00BF282C"/>
    <w:rsid w:val="00BF6C60"/>
    <w:rsid w:val="00BF73A1"/>
    <w:rsid w:val="00C01985"/>
    <w:rsid w:val="00C148F0"/>
    <w:rsid w:val="00C17297"/>
    <w:rsid w:val="00C17F23"/>
    <w:rsid w:val="00C215A6"/>
    <w:rsid w:val="00C34459"/>
    <w:rsid w:val="00C35D25"/>
    <w:rsid w:val="00C37D19"/>
    <w:rsid w:val="00C4005F"/>
    <w:rsid w:val="00C439FF"/>
    <w:rsid w:val="00C53AD8"/>
    <w:rsid w:val="00C55311"/>
    <w:rsid w:val="00C63471"/>
    <w:rsid w:val="00C64CBD"/>
    <w:rsid w:val="00C6554B"/>
    <w:rsid w:val="00C66A92"/>
    <w:rsid w:val="00C7299F"/>
    <w:rsid w:val="00C86EC2"/>
    <w:rsid w:val="00C96EB7"/>
    <w:rsid w:val="00CA43AF"/>
    <w:rsid w:val="00CA5021"/>
    <w:rsid w:val="00CA78BA"/>
    <w:rsid w:val="00CC5E8A"/>
    <w:rsid w:val="00CD20C4"/>
    <w:rsid w:val="00CD7302"/>
    <w:rsid w:val="00CE014A"/>
    <w:rsid w:val="00CE05B1"/>
    <w:rsid w:val="00CE2142"/>
    <w:rsid w:val="00CF576C"/>
    <w:rsid w:val="00D135C2"/>
    <w:rsid w:val="00D13A5F"/>
    <w:rsid w:val="00D16877"/>
    <w:rsid w:val="00D36919"/>
    <w:rsid w:val="00D55C55"/>
    <w:rsid w:val="00D6047C"/>
    <w:rsid w:val="00D64559"/>
    <w:rsid w:val="00D73FEA"/>
    <w:rsid w:val="00D74DF5"/>
    <w:rsid w:val="00D773ED"/>
    <w:rsid w:val="00D826F6"/>
    <w:rsid w:val="00D85474"/>
    <w:rsid w:val="00D85E2B"/>
    <w:rsid w:val="00D92966"/>
    <w:rsid w:val="00DB1819"/>
    <w:rsid w:val="00DB6084"/>
    <w:rsid w:val="00DC3DC8"/>
    <w:rsid w:val="00DE0095"/>
    <w:rsid w:val="00DE00A5"/>
    <w:rsid w:val="00DE09FE"/>
    <w:rsid w:val="00DE1050"/>
    <w:rsid w:val="00DE7304"/>
    <w:rsid w:val="00E04181"/>
    <w:rsid w:val="00E1361B"/>
    <w:rsid w:val="00E13813"/>
    <w:rsid w:val="00E17048"/>
    <w:rsid w:val="00E21804"/>
    <w:rsid w:val="00E2277B"/>
    <w:rsid w:val="00E36303"/>
    <w:rsid w:val="00E41085"/>
    <w:rsid w:val="00E46509"/>
    <w:rsid w:val="00E51E7F"/>
    <w:rsid w:val="00E61305"/>
    <w:rsid w:val="00E61785"/>
    <w:rsid w:val="00E72138"/>
    <w:rsid w:val="00E82685"/>
    <w:rsid w:val="00E9215E"/>
    <w:rsid w:val="00E930FC"/>
    <w:rsid w:val="00EA3680"/>
    <w:rsid w:val="00EB7C2D"/>
    <w:rsid w:val="00EC11CC"/>
    <w:rsid w:val="00ED06B2"/>
    <w:rsid w:val="00ED477F"/>
    <w:rsid w:val="00EE1784"/>
    <w:rsid w:val="00EE493D"/>
    <w:rsid w:val="00EE7F6A"/>
    <w:rsid w:val="00EF180C"/>
    <w:rsid w:val="00EF2F05"/>
    <w:rsid w:val="00EF54DF"/>
    <w:rsid w:val="00F13E00"/>
    <w:rsid w:val="00F37CC5"/>
    <w:rsid w:val="00F512C8"/>
    <w:rsid w:val="00F53B8E"/>
    <w:rsid w:val="00F6440D"/>
    <w:rsid w:val="00F726CC"/>
    <w:rsid w:val="00F77688"/>
    <w:rsid w:val="00F83B65"/>
    <w:rsid w:val="00F91765"/>
    <w:rsid w:val="00F97628"/>
    <w:rsid w:val="00FD4CB9"/>
    <w:rsid w:val="00FD6DB7"/>
    <w:rsid w:val="00FE46B1"/>
    <w:rsid w:val="00FE78B5"/>
    <w:rsid w:val="00FE7A56"/>
    <w:rsid w:val="00FF1B7C"/>
    <w:rsid w:val="00FF3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090"/>
  <w15:chartTrackingRefBased/>
  <w15:docId w15:val="{D73AD0AC-29CA-46C1-B65B-8C012911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3D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076F"/>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76F"/>
  </w:style>
  <w:style w:type="paragraph" w:styleId="Noga">
    <w:name w:val="footer"/>
    <w:basedOn w:val="Navaden"/>
    <w:link w:val="NogaZnak"/>
    <w:uiPriority w:val="99"/>
    <w:unhideWhenUsed/>
    <w:rsid w:val="007F076F"/>
    <w:pPr>
      <w:tabs>
        <w:tab w:val="center" w:pos="4536"/>
        <w:tab w:val="right" w:pos="9072"/>
      </w:tabs>
      <w:spacing w:after="0" w:line="240" w:lineRule="auto"/>
    </w:pPr>
  </w:style>
  <w:style w:type="character" w:customStyle="1" w:styleId="NogaZnak">
    <w:name w:val="Noga Znak"/>
    <w:basedOn w:val="Privzetapisavaodstavka"/>
    <w:link w:val="Noga"/>
    <w:uiPriority w:val="99"/>
    <w:rsid w:val="007F076F"/>
  </w:style>
  <w:style w:type="paragraph" w:customStyle="1" w:styleId="Ulica">
    <w:name w:val="Ulica"/>
    <w:basedOn w:val="Glava"/>
    <w:qFormat/>
    <w:rsid w:val="007F076F"/>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7F076F"/>
    <w:rPr>
      <w:color w:val="0000FF"/>
      <w:u w:val="single"/>
    </w:rPr>
  </w:style>
  <w:style w:type="paragraph" w:styleId="Kazalovsebine1">
    <w:name w:val="toc 1"/>
    <w:basedOn w:val="Navaden"/>
    <w:next w:val="Navaden"/>
    <w:uiPriority w:val="39"/>
    <w:qFormat/>
    <w:rsid w:val="007F076F"/>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7F076F"/>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7F076F"/>
    <w:rPr>
      <w:rFonts w:ascii="Arial" w:eastAsia="Times New Roman" w:hAnsi="Arial" w:cs="Arial"/>
      <w:sz w:val="24"/>
      <w:szCs w:val="24"/>
      <w:lang w:eastAsia="sl-SI"/>
    </w:rPr>
  </w:style>
  <w:style w:type="table" w:styleId="Tabelamrea">
    <w:name w:val="Table Grid"/>
    <w:basedOn w:val="Navadnatabela"/>
    <w:uiPriority w:val="39"/>
    <w:rsid w:val="007F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F076F"/>
    <w:rPr>
      <w:sz w:val="16"/>
      <w:szCs w:val="16"/>
    </w:rPr>
  </w:style>
  <w:style w:type="character" w:customStyle="1" w:styleId="tabelaZnak">
    <w:name w:val="tabela Znak"/>
    <w:link w:val="tabela"/>
    <w:rsid w:val="007F076F"/>
    <w:rPr>
      <w:rFonts w:ascii="Arial Narrow" w:hAnsi="Arial Narrow" w:cs="Arial"/>
    </w:rPr>
  </w:style>
  <w:style w:type="paragraph" w:customStyle="1" w:styleId="tabela">
    <w:name w:val="tabela"/>
    <w:basedOn w:val="Navaden"/>
    <w:link w:val="tabelaZnak"/>
    <w:rsid w:val="007F076F"/>
    <w:pPr>
      <w:autoSpaceDE w:val="0"/>
      <w:autoSpaceDN w:val="0"/>
      <w:adjustRightInd w:val="0"/>
      <w:spacing w:before="20" w:after="20" w:line="240" w:lineRule="exact"/>
    </w:pPr>
    <w:rPr>
      <w:rFonts w:ascii="Arial Narrow" w:hAnsi="Arial Narrow" w:cs="Arial"/>
    </w:rPr>
  </w:style>
  <w:style w:type="paragraph" w:customStyle="1" w:styleId="tabelaal">
    <w:name w:val="tabela al"/>
    <w:basedOn w:val="tabela"/>
    <w:link w:val="tabelaalZnak"/>
    <w:rsid w:val="007F076F"/>
    <w:pPr>
      <w:numPr>
        <w:numId w:val="3"/>
      </w:numPr>
      <w:tabs>
        <w:tab w:val="left" w:pos="227"/>
      </w:tabs>
    </w:pPr>
  </w:style>
  <w:style w:type="character" w:customStyle="1" w:styleId="tabelaalZnak">
    <w:name w:val="tabela al Znak"/>
    <w:link w:val="tabelaal"/>
    <w:rsid w:val="007F076F"/>
    <w:rPr>
      <w:rFonts w:ascii="Arial Narrow" w:hAnsi="Arial Narrow" w:cs="Arial"/>
    </w:rPr>
  </w:style>
  <w:style w:type="paragraph" w:styleId="Brezrazmikov">
    <w:name w:val="No Spacing"/>
    <w:uiPriority w:val="1"/>
    <w:qFormat/>
    <w:rsid w:val="00A22601"/>
    <w:pPr>
      <w:spacing w:after="0" w:line="240" w:lineRule="auto"/>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B04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4D7"/>
    <w:rPr>
      <w:sz w:val="20"/>
      <w:szCs w:val="20"/>
    </w:rPr>
  </w:style>
  <w:style w:type="paragraph" w:styleId="Zadevapripombe">
    <w:name w:val="annotation subject"/>
    <w:basedOn w:val="Pripombabesedilo"/>
    <w:next w:val="Pripombabesedilo"/>
    <w:link w:val="ZadevapripombeZnak"/>
    <w:uiPriority w:val="99"/>
    <w:semiHidden/>
    <w:unhideWhenUsed/>
    <w:rsid w:val="008B04D7"/>
    <w:rPr>
      <w:b/>
      <w:bCs/>
    </w:rPr>
  </w:style>
  <w:style w:type="character" w:customStyle="1" w:styleId="ZadevapripombeZnak">
    <w:name w:val="Zadeva pripombe Znak"/>
    <w:basedOn w:val="PripombabesediloZnak"/>
    <w:link w:val="Zadevapripombe"/>
    <w:uiPriority w:val="99"/>
    <w:semiHidden/>
    <w:rsid w:val="008B04D7"/>
    <w:rPr>
      <w:b/>
      <w:bCs/>
      <w:sz w:val="20"/>
      <w:szCs w:val="20"/>
    </w:rPr>
  </w:style>
  <w:style w:type="table" w:customStyle="1" w:styleId="Tabelamrea1">
    <w:name w:val="Tabela – mreža1"/>
    <w:basedOn w:val="Navadnatabela"/>
    <w:next w:val="Tabelamrea"/>
    <w:uiPriority w:val="39"/>
    <w:rsid w:val="00E1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83B65"/>
    <w:rPr>
      <w:color w:val="605E5C"/>
      <w:shd w:val="clear" w:color="auto" w:fill="E1DFDD"/>
    </w:rPr>
  </w:style>
  <w:style w:type="paragraph" w:styleId="Telobesedila">
    <w:name w:val="Body Text"/>
    <w:basedOn w:val="Navaden"/>
    <w:link w:val="TelobesedilaZnak"/>
    <w:rsid w:val="00037C2D"/>
    <w:pPr>
      <w:spacing w:after="0" w:line="240" w:lineRule="auto"/>
      <w:jc w:val="both"/>
    </w:pPr>
    <w:rPr>
      <w:rFonts w:ascii="Arial" w:eastAsia="Times New Roman" w:hAnsi="Arial" w:cs="Times New Roman"/>
      <w:sz w:val="18"/>
      <w:szCs w:val="20"/>
      <w:lang w:eastAsia="sl-SI"/>
    </w:rPr>
  </w:style>
  <w:style w:type="character" w:customStyle="1" w:styleId="TelobesedilaZnak">
    <w:name w:val="Telo besedila Znak"/>
    <w:basedOn w:val="Privzetapisavaodstavka"/>
    <w:link w:val="Telobesedila"/>
    <w:rsid w:val="00037C2D"/>
    <w:rPr>
      <w:rFonts w:ascii="Arial" w:eastAsia="Times New Roman" w:hAnsi="Arial" w:cs="Times New Roman"/>
      <w:sz w:val="1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kob.ceglar@zzzs.si" TargetMode="External"/><Relationship Id="rId18" Type="http://schemas.openxmlformats.org/officeDocument/2006/relationships/hyperlink" Target="mailto:franc.osredkar@zzzs.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ita.strmljan@zzzs.si" TargetMode="External"/><Relationship Id="rId17" Type="http://schemas.openxmlformats.org/officeDocument/2006/relationships/hyperlink" Target="mailto:anita.strmljan@zzzs.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zeta.hafner@zzzs.si" TargetMode="External"/><Relationship Id="rId20" Type="http://schemas.openxmlformats.org/officeDocument/2006/relationships/hyperlink" Target="mailto:pika.jazbinsek@zz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eta.hafner@zzz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kob.ceglar@zzzs.si" TargetMode="External"/><Relationship Id="rId23" Type="http://schemas.openxmlformats.org/officeDocument/2006/relationships/header" Target="header3.xml"/><Relationship Id="rId10" Type="http://schemas.openxmlformats.org/officeDocument/2006/relationships/hyperlink" Target="mailto:franc.osredkar@zzzs.si" TargetMode="External"/><Relationship Id="rId19" Type="http://schemas.openxmlformats.org/officeDocument/2006/relationships/hyperlink" Target="mailto:darja.kusar@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ka.jazbinsek@zzzs.s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E5F92-58C7-4A81-B080-B0352CC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4342</Words>
  <Characters>24755</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10</cp:revision>
  <cp:lastPrinted>2023-01-23T07:04:00Z</cp:lastPrinted>
  <dcterms:created xsi:type="dcterms:W3CDTF">2023-01-26T13:24:00Z</dcterms:created>
  <dcterms:modified xsi:type="dcterms:W3CDTF">2023-01-27T08:37:00Z</dcterms:modified>
</cp:coreProperties>
</file>