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25EC" w14:textId="77777777" w:rsidR="002E105E" w:rsidRDefault="002E105E" w:rsidP="002E105E">
      <w:pPr>
        <w:rPr>
          <w:rFonts w:asciiTheme="minorHAnsi" w:hAnsiTheme="minorHAnsi" w:cstheme="minorHAnsi"/>
          <w:sz w:val="22"/>
          <w:szCs w:val="22"/>
        </w:rPr>
      </w:pPr>
    </w:p>
    <w:p w14:paraId="33E0ADE5" w14:textId="77777777" w:rsidR="002E105E" w:rsidRPr="00D807FE" w:rsidRDefault="002E105E" w:rsidP="002E105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Na podlagi prve alineje drugega odstavka 24. člena in prve alineje prvega odstavka 50. člena Pravilnika o seznamu in izhodiščih za vrednosti medicinskih pripomočkov iz obveznega zdravstvenega zavarovanja (Uradni list RS, št. 4/20) je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807FE">
        <w:rPr>
          <w:rFonts w:asciiTheme="minorHAnsi" w:hAnsiTheme="minorHAnsi" w:cstheme="minorHAnsi"/>
          <w:sz w:val="22"/>
          <w:szCs w:val="22"/>
        </w:rPr>
        <w:t xml:space="preserve">pravni odbor Zavoda za zdravstveno zavarovanje Slovenije </w:t>
      </w:r>
      <w:r w:rsidRPr="00E703BD">
        <w:rPr>
          <w:rFonts w:asciiTheme="minorHAnsi" w:hAnsiTheme="minorHAnsi" w:cstheme="minorHAnsi"/>
          <w:sz w:val="22"/>
          <w:szCs w:val="22"/>
        </w:rPr>
        <w:t xml:space="preserve">na </w:t>
      </w:r>
      <w:r w:rsidRPr="009B51F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49241F">
        <w:rPr>
          <w:rFonts w:asciiTheme="minorHAnsi" w:hAnsiTheme="minorHAnsi" w:cstheme="minorHAnsi"/>
          <w:sz w:val="22"/>
          <w:szCs w:val="22"/>
        </w:rPr>
        <w:t>.</w:t>
      </w:r>
      <w:r w:rsidRPr="00857EEB">
        <w:rPr>
          <w:rFonts w:asciiTheme="minorHAnsi" w:hAnsiTheme="minorHAnsi" w:cstheme="minorHAnsi"/>
          <w:sz w:val="22"/>
          <w:szCs w:val="22"/>
        </w:rPr>
        <w:t xml:space="preserve"> redni seji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857EEB">
        <w:rPr>
          <w:rFonts w:asciiTheme="minorHAnsi" w:hAnsiTheme="minorHAnsi" w:cstheme="minorHAnsi"/>
          <w:sz w:val="22"/>
          <w:szCs w:val="22"/>
        </w:rPr>
        <w:t>. 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857EEB">
        <w:rPr>
          <w:rFonts w:asciiTheme="minorHAnsi" w:hAnsiTheme="minorHAnsi" w:cstheme="minorHAnsi"/>
          <w:sz w:val="22"/>
          <w:szCs w:val="22"/>
        </w:rPr>
        <w:t xml:space="preserve">. 2024 </w:t>
      </w:r>
      <w:r w:rsidRPr="00D807FE">
        <w:rPr>
          <w:rFonts w:asciiTheme="minorHAnsi" w:hAnsiTheme="minorHAnsi" w:cstheme="minorHAnsi"/>
          <w:sz w:val="22"/>
          <w:szCs w:val="22"/>
        </w:rPr>
        <w:t>sprejel</w:t>
      </w:r>
    </w:p>
    <w:p w14:paraId="4D7BF7E4" w14:textId="77777777" w:rsidR="002E105E" w:rsidRPr="00D807FE" w:rsidRDefault="002E105E" w:rsidP="002E105E">
      <w:pPr>
        <w:rPr>
          <w:rFonts w:asciiTheme="minorHAnsi" w:hAnsiTheme="minorHAnsi" w:cstheme="minorHAnsi"/>
          <w:b/>
          <w:sz w:val="22"/>
          <w:szCs w:val="22"/>
        </w:rPr>
      </w:pPr>
    </w:p>
    <w:p w14:paraId="27E1CD88" w14:textId="77777777" w:rsidR="002E105E" w:rsidRPr="00D807FE" w:rsidRDefault="002E105E" w:rsidP="002E10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07FE">
        <w:rPr>
          <w:rFonts w:asciiTheme="minorHAnsi" w:hAnsiTheme="minorHAnsi" w:cstheme="minorHAnsi"/>
          <w:b/>
          <w:sz w:val="22"/>
          <w:szCs w:val="22"/>
        </w:rPr>
        <w:t>Sklep o sprememb</w:t>
      </w:r>
      <w:r>
        <w:rPr>
          <w:rFonts w:asciiTheme="minorHAnsi" w:hAnsiTheme="minorHAnsi" w:cstheme="minorHAnsi"/>
          <w:b/>
          <w:sz w:val="22"/>
          <w:szCs w:val="22"/>
        </w:rPr>
        <w:t>ah in dopolnitvah</w:t>
      </w:r>
    </w:p>
    <w:p w14:paraId="1C969CDF" w14:textId="77777777" w:rsidR="002E105E" w:rsidRPr="00D807FE" w:rsidRDefault="002E105E" w:rsidP="002E10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 xml:space="preserve">Sklepa o določitvi cenovnih standardov medicinskih pripomočkov </w:t>
      </w:r>
    </w:p>
    <w:p w14:paraId="590CCEE8" w14:textId="77777777" w:rsidR="002E105E" w:rsidRPr="00D807FE" w:rsidRDefault="002E105E" w:rsidP="002E10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07FE">
        <w:rPr>
          <w:rFonts w:asciiTheme="minorHAnsi" w:hAnsiTheme="minorHAnsi" w:cstheme="minorHAnsi"/>
          <w:b/>
          <w:sz w:val="22"/>
          <w:szCs w:val="22"/>
        </w:rPr>
        <w:t>iz obveznega zdravstvenega zavarovanja</w:t>
      </w:r>
    </w:p>
    <w:p w14:paraId="5B6A8773" w14:textId="77777777" w:rsidR="002E105E" w:rsidRPr="00D807FE" w:rsidRDefault="002E105E" w:rsidP="002E105E">
      <w:pPr>
        <w:rPr>
          <w:rFonts w:asciiTheme="minorHAnsi" w:hAnsiTheme="minorHAnsi" w:cstheme="minorHAnsi"/>
          <w:sz w:val="22"/>
          <w:szCs w:val="22"/>
        </w:rPr>
      </w:pPr>
    </w:p>
    <w:p w14:paraId="20DB3992" w14:textId="77777777" w:rsidR="002E105E" w:rsidRPr="00D807FE" w:rsidRDefault="002E105E" w:rsidP="002E105E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807FE">
        <w:rPr>
          <w:rFonts w:asciiTheme="minorHAnsi" w:hAnsiTheme="minorHAnsi" w:cstheme="minorHAnsi"/>
          <w:bCs/>
          <w:sz w:val="22"/>
          <w:szCs w:val="22"/>
        </w:rPr>
        <w:t>1. člen</w:t>
      </w:r>
    </w:p>
    <w:p w14:paraId="153C5402" w14:textId="77777777" w:rsidR="002E105E" w:rsidRPr="00D807FE" w:rsidRDefault="002E105E" w:rsidP="002E105E">
      <w:pPr>
        <w:rPr>
          <w:rFonts w:asciiTheme="minorHAnsi" w:hAnsiTheme="minorHAnsi" w:cstheme="minorHAnsi"/>
          <w:sz w:val="22"/>
          <w:szCs w:val="22"/>
        </w:rPr>
      </w:pPr>
    </w:p>
    <w:p w14:paraId="466F8C85" w14:textId="77777777" w:rsidR="002E105E" w:rsidRDefault="002E105E" w:rsidP="002E105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V Sklepu o določitvi cenovnih standardov medicinskih pripomočkov iz obveznega zdravstvenega zavarovanja, št. </w:t>
      </w:r>
      <w:r w:rsidRPr="00B61CC4">
        <w:rPr>
          <w:rFonts w:asciiTheme="minorHAnsi" w:hAnsiTheme="minorHAnsi" w:cstheme="minorHAnsi"/>
          <w:sz w:val="22"/>
          <w:szCs w:val="22"/>
        </w:rPr>
        <w:t>0072-55/2023-DI/1</w:t>
      </w:r>
      <w:r>
        <w:rPr>
          <w:rFonts w:asciiTheme="minorHAnsi" w:hAnsiTheme="minorHAnsi" w:cstheme="minorHAnsi"/>
          <w:sz w:val="22"/>
          <w:szCs w:val="22"/>
        </w:rPr>
        <w:t xml:space="preserve">, z dne 18. 12. 2023, s spremembami in dopolnitvami </w:t>
      </w: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 xml:space="preserve">1, z dne 15. 4. 2024, št. </w:t>
      </w:r>
      <w:r w:rsidRPr="005C5198">
        <w:rPr>
          <w:rFonts w:asciiTheme="minorHAnsi" w:hAnsiTheme="minorHAnsi" w:cstheme="minorHAnsi"/>
          <w:sz w:val="22"/>
          <w:szCs w:val="22"/>
        </w:rPr>
        <w:t>0072-15/2024-DI/</w:t>
      </w:r>
      <w:r>
        <w:rPr>
          <w:rFonts w:asciiTheme="minorHAnsi" w:hAnsiTheme="minorHAnsi" w:cstheme="minorHAnsi"/>
          <w:sz w:val="22"/>
          <w:szCs w:val="22"/>
        </w:rPr>
        <w:t xml:space="preserve">2, z dne 4. 6. 2024, št. </w:t>
      </w:r>
      <w:r w:rsidRPr="005C5198">
        <w:rPr>
          <w:rFonts w:asciiTheme="minorHAnsi" w:hAnsiTheme="minorHAnsi" w:cstheme="minorHAnsi"/>
          <w:sz w:val="22"/>
          <w:szCs w:val="22"/>
        </w:rPr>
        <w:t>0072-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5C5198">
        <w:rPr>
          <w:rFonts w:asciiTheme="minorHAnsi" w:hAnsiTheme="minorHAnsi" w:cstheme="minorHAnsi"/>
          <w:sz w:val="22"/>
          <w:szCs w:val="22"/>
        </w:rPr>
        <w:t>/2024-DI/</w:t>
      </w:r>
      <w:r>
        <w:rPr>
          <w:rFonts w:asciiTheme="minorHAnsi" w:hAnsiTheme="minorHAnsi" w:cstheme="minorHAnsi"/>
          <w:sz w:val="22"/>
          <w:szCs w:val="22"/>
        </w:rPr>
        <w:t>4, z dne 18. 7. 2024, š</w:t>
      </w:r>
      <w:r w:rsidRPr="00D807FE">
        <w:rPr>
          <w:rFonts w:asciiTheme="minorHAnsi" w:hAnsiTheme="minorHAnsi" w:cstheme="minorHAnsi"/>
          <w:sz w:val="22"/>
          <w:szCs w:val="22"/>
        </w:rPr>
        <w:t xml:space="preserve">t. </w:t>
      </w:r>
      <w:r w:rsidRPr="005C5198">
        <w:rPr>
          <w:rFonts w:asciiTheme="minorHAnsi" w:hAnsiTheme="minorHAnsi" w:cstheme="minorHAnsi"/>
          <w:sz w:val="22"/>
          <w:szCs w:val="22"/>
        </w:rPr>
        <w:t>0072-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5C5198">
        <w:rPr>
          <w:rFonts w:asciiTheme="minorHAnsi" w:hAnsiTheme="minorHAnsi" w:cstheme="minorHAnsi"/>
          <w:sz w:val="22"/>
          <w:szCs w:val="22"/>
        </w:rPr>
        <w:t>/2024-DI/</w:t>
      </w:r>
      <w:r w:rsidRPr="00220ED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z dne 26. 8 2024, in št. 0072-15/2024-DI/</w:t>
      </w:r>
      <w:r w:rsidRPr="00AB16B9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 z dne 24. 9. 2024 se v</w:t>
      </w:r>
      <w:r w:rsidRPr="00D807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Prilogi 1 »</w:t>
      </w:r>
      <w:r w:rsidRPr="00A214A4">
        <w:rPr>
          <w:rFonts w:asciiTheme="minorHAnsi" w:hAnsiTheme="minorHAnsi" w:cstheme="minorHAnsi"/>
          <w:sz w:val="22"/>
          <w:szCs w:val="22"/>
        </w:rPr>
        <w:t>Seznam skupin, podskupin in vrst medicinskih pripomočkov s cenovnimi standardi</w:t>
      </w:r>
      <w:r>
        <w:rPr>
          <w:rFonts w:asciiTheme="minorHAnsi" w:hAnsiTheme="minorHAnsi" w:cstheme="minorHAnsi"/>
          <w:sz w:val="22"/>
          <w:szCs w:val="22"/>
        </w:rPr>
        <w:t xml:space="preserve">« pri </w:t>
      </w:r>
      <w:r w:rsidRPr="00170498">
        <w:rPr>
          <w:rFonts w:asciiTheme="minorHAnsi" w:hAnsiTheme="minorHAnsi" w:cstheme="minorHAnsi"/>
          <w:sz w:val="22"/>
          <w:szCs w:val="22"/>
        </w:rPr>
        <w:t>vrst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714D9E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232</w:t>
      </w:r>
      <w:r w:rsidRPr="00A214A4">
        <w:t xml:space="preserve"> </w:t>
      </w:r>
      <w:r w:rsidRPr="00A214A4">
        <w:rPr>
          <w:rFonts w:asciiTheme="minorHAnsi" w:hAnsiTheme="minorHAnsi" w:cstheme="minorHAnsi"/>
          <w:sz w:val="22"/>
          <w:szCs w:val="22"/>
        </w:rPr>
        <w:t>DIAGNOSTIČNI TRAKOVI ZA APARAT ZA DOLOČANJE GLUKOZE V KRVI</w:t>
      </w:r>
      <w:r w:rsidRPr="00714D9E">
        <w:rPr>
          <w:rFonts w:asciiTheme="minorHAnsi" w:hAnsiTheme="minorHAnsi" w:cstheme="minorHAnsi"/>
          <w:sz w:val="22"/>
          <w:szCs w:val="22"/>
        </w:rPr>
        <w:t xml:space="preserve"> spremeni </w:t>
      </w:r>
      <w:r>
        <w:rPr>
          <w:rFonts w:asciiTheme="minorHAnsi" w:hAnsiTheme="minorHAnsi" w:cstheme="minorHAnsi"/>
          <w:sz w:val="22"/>
          <w:szCs w:val="22"/>
        </w:rPr>
        <w:t>cenovni standard »0,35 EUR«</w:t>
      </w:r>
      <w:r w:rsidRPr="00714D9E">
        <w:rPr>
          <w:rFonts w:asciiTheme="minorHAnsi" w:hAnsiTheme="minorHAnsi" w:cstheme="minorHAnsi"/>
          <w:sz w:val="22"/>
          <w:szCs w:val="22"/>
        </w:rPr>
        <w:t xml:space="preserve">, tako da se po novem glasi </w:t>
      </w:r>
      <w:r w:rsidRPr="00595E68">
        <w:rPr>
          <w:rFonts w:asciiTheme="minorHAnsi" w:hAnsiTheme="minorHAnsi" w:cstheme="minorHAnsi"/>
          <w:sz w:val="22"/>
          <w:szCs w:val="22"/>
        </w:rPr>
        <w:t>»0,42 EUR«.</w:t>
      </w:r>
    </w:p>
    <w:p w14:paraId="406EA235" w14:textId="77777777" w:rsidR="002E105E" w:rsidRDefault="002E105E" w:rsidP="002E105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F51A790" w14:textId="77777777" w:rsidR="002E105E" w:rsidRDefault="002E105E" w:rsidP="002E105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A214A4">
        <w:rPr>
          <w:rFonts w:asciiTheme="minorHAnsi" w:hAnsiTheme="minorHAnsi" w:cstheme="minorHAnsi"/>
          <w:bCs/>
          <w:sz w:val="22"/>
          <w:szCs w:val="22"/>
        </w:rPr>
        <w:t>člen</w:t>
      </w:r>
    </w:p>
    <w:p w14:paraId="2A963720" w14:textId="77777777" w:rsidR="002E105E" w:rsidRDefault="002E105E" w:rsidP="002E105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FCD8B2F" w14:textId="77777777" w:rsidR="002E105E" w:rsidRDefault="002E105E" w:rsidP="002E105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D807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Prilogi 2 »Seznam skupin in vrst medicinskih pripomočkov ter artiklov s cenovnimi standardi« se pri </w:t>
      </w:r>
      <w:r w:rsidRPr="00170498">
        <w:rPr>
          <w:rFonts w:asciiTheme="minorHAnsi" w:hAnsiTheme="minorHAnsi" w:cstheme="minorHAnsi"/>
          <w:sz w:val="22"/>
          <w:szCs w:val="22"/>
        </w:rPr>
        <w:t>vrst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A214A4">
        <w:rPr>
          <w:rFonts w:asciiTheme="minorHAnsi" w:hAnsiTheme="minorHAnsi" w:cstheme="minorHAnsi"/>
          <w:sz w:val="22"/>
          <w:szCs w:val="22"/>
        </w:rPr>
        <w:t>1804 MEDICINSKI PRIPOMOČEK ZA ZAŠČITO USTNE SLUZNICE</w:t>
      </w:r>
      <w:r>
        <w:rPr>
          <w:rFonts w:asciiTheme="minorHAnsi" w:hAnsiTheme="minorHAnsi" w:cstheme="minorHAnsi"/>
          <w:sz w:val="22"/>
          <w:szCs w:val="22"/>
        </w:rPr>
        <w:t xml:space="preserve"> za dosedanjo zadnjo, četrto vrstico dodajo nove peta do sedma vrstica, ki se glasijo:</w:t>
      </w:r>
    </w:p>
    <w:p w14:paraId="6B616BA1" w14:textId="77777777" w:rsidR="002E105E" w:rsidRDefault="002E105E" w:rsidP="002E105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»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119"/>
        <w:gridCol w:w="1559"/>
        <w:gridCol w:w="1417"/>
      </w:tblGrid>
      <w:tr w:rsidR="002E105E" w:rsidRPr="00A214A4" w14:paraId="43628834" w14:textId="77777777" w:rsidTr="0087610E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AEC5D" w14:textId="77777777" w:rsidR="002E105E" w:rsidRPr="00A214A4" w:rsidRDefault="002E105E" w:rsidP="0087610E">
            <w:pPr>
              <w:rPr>
                <w:rFonts w:ascii="Calibri" w:hAnsi="Calibri" w:cs="Calibri"/>
              </w:rPr>
            </w:pPr>
            <w:r w:rsidRPr="00B974EB">
              <w:rPr>
                <w:rFonts w:ascii="Calibri" w:hAnsi="Calibri" w:cs="Calibri"/>
              </w:rPr>
              <w:t>BioXtra gel nadomestek sline 40 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A5C6B" w14:textId="77777777" w:rsidR="002E105E" w:rsidRPr="00A214A4" w:rsidRDefault="002E105E" w:rsidP="0087610E">
            <w:pPr>
              <w:rPr>
                <w:rFonts w:ascii="Calibri" w:hAnsi="Calibri" w:cs="Calibri"/>
              </w:rPr>
            </w:pPr>
            <w:r w:rsidRPr="00B974EB">
              <w:rPr>
                <w:rFonts w:ascii="Calibri" w:hAnsi="Calibri" w:cs="Calibri"/>
              </w:rPr>
              <w:t>LifeStream Pharma n.v., Belgium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823ED" w14:textId="77777777" w:rsidR="002E105E" w:rsidRPr="00A214A4" w:rsidRDefault="002E105E" w:rsidP="0087610E">
            <w:pPr>
              <w:jc w:val="center"/>
              <w:rPr>
                <w:rFonts w:ascii="Calibri" w:hAnsi="Calibri" w:cs="Calibri"/>
              </w:rPr>
            </w:pPr>
            <w:r w:rsidRPr="00A214A4">
              <w:rPr>
                <w:rFonts w:ascii="Calibri" w:hAnsi="Calibri" w:cs="Calibri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717A2" w14:textId="77777777" w:rsidR="002E105E" w:rsidRPr="00A214A4" w:rsidRDefault="002E105E" w:rsidP="0087610E">
            <w:pPr>
              <w:jc w:val="center"/>
              <w:rPr>
                <w:rFonts w:ascii="Calibri" w:hAnsi="Calibri" w:cs="Calibri"/>
              </w:rPr>
            </w:pPr>
            <w:r w:rsidRPr="00B974EB">
              <w:rPr>
                <w:rFonts w:ascii="Calibri" w:hAnsi="Calibri" w:cs="Calibri"/>
              </w:rPr>
              <w:t>9,43</w:t>
            </w:r>
          </w:p>
        </w:tc>
      </w:tr>
      <w:tr w:rsidR="002E105E" w:rsidRPr="00A214A4" w14:paraId="5DA3C7FB" w14:textId="77777777" w:rsidTr="0087610E">
        <w:trPr>
          <w:trHeight w:val="34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01187" w14:textId="77777777" w:rsidR="002E105E" w:rsidRPr="00A214A4" w:rsidRDefault="002E105E" w:rsidP="0087610E">
            <w:pPr>
              <w:rPr>
                <w:rFonts w:ascii="Calibri" w:hAnsi="Calibri" w:cs="Calibri"/>
              </w:rPr>
            </w:pPr>
            <w:r w:rsidRPr="00B974EB">
              <w:rPr>
                <w:rFonts w:ascii="Calibri" w:hAnsi="Calibri" w:cs="Calibri"/>
              </w:rPr>
              <w:t>BioXtra ustna voda za suha usta 250 ml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D2B55" w14:textId="77777777" w:rsidR="002E105E" w:rsidRPr="00A214A4" w:rsidRDefault="002E105E" w:rsidP="0087610E">
            <w:pPr>
              <w:rPr>
                <w:rFonts w:ascii="Calibri" w:hAnsi="Calibri" w:cs="Calibri"/>
              </w:rPr>
            </w:pPr>
            <w:r w:rsidRPr="00B974EB">
              <w:rPr>
                <w:rFonts w:ascii="Calibri" w:hAnsi="Calibri" w:cs="Calibri"/>
              </w:rPr>
              <w:t>LifeStream Pharma n.v., Belgium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13B3" w14:textId="77777777" w:rsidR="002E105E" w:rsidRPr="00A214A4" w:rsidRDefault="002E105E" w:rsidP="0087610E">
            <w:pPr>
              <w:jc w:val="center"/>
              <w:rPr>
                <w:rFonts w:ascii="Calibri" w:hAnsi="Calibri" w:cs="Calibri"/>
              </w:rPr>
            </w:pPr>
            <w:r w:rsidRPr="00A214A4">
              <w:rPr>
                <w:rFonts w:ascii="Calibri" w:hAnsi="Calibri" w:cs="Calibri"/>
              </w:rPr>
              <w:t>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4A03C" w14:textId="77777777" w:rsidR="002E105E" w:rsidRPr="00A214A4" w:rsidRDefault="002E105E" w:rsidP="0087610E">
            <w:pPr>
              <w:jc w:val="center"/>
              <w:rPr>
                <w:rFonts w:ascii="Calibri" w:hAnsi="Calibri" w:cs="Calibri"/>
              </w:rPr>
            </w:pPr>
            <w:r w:rsidRPr="00B974EB">
              <w:rPr>
                <w:rFonts w:ascii="Calibri" w:hAnsi="Calibri" w:cs="Calibri"/>
              </w:rPr>
              <w:t>10,29</w:t>
            </w:r>
          </w:p>
        </w:tc>
      </w:tr>
      <w:tr w:rsidR="002E105E" w:rsidRPr="00A214A4" w14:paraId="3C061C4D" w14:textId="77777777" w:rsidTr="0087610E">
        <w:trPr>
          <w:trHeight w:val="5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BCC23" w14:textId="77777777" w:rsidR="002E105E" w:rsidRPr="00A214A4" w:rsidRDefault="002E105E" w:rsidP="0087610E">
            <w:pPr>
              <w:rPr>
                <w:rFonts w:ascii="Calibri" w:hAnsi="Calibri" w:cs="Calibri"/>
              </w:rPr>
            </w:pPr>
            <w:r w:rsidRPr="00B974EB">
              <w:rPr>
                <w:rFonts w:ascii="Calibri" w:hAnsi="Calibri" w:cs="Calibri"/>
              </w:rPr>
              <w:t>BioXtra pršilo za suha usta 50 ml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34064" w14:textId="77777777" w:rsidR="002E105E" w:rsidRPr="00A214A4" w:rsidRDefault="002E105E" w:rsidP="0087610E">
            <w:pPr>
              <w:rPr>
                <w:rFonts w:ascii="Calibri" w:hAnsi="Calibri" w:cs="Calibri"/>
              </w:rPr>
            </w:pPr>
            <w:r w:rsidRPr="00B974EB">
              <w:rPr>
                <w:rFonts w:ascii="Calibri" w:hAnsi="Calibri" w:cs="Calibri"/>
              </w:rPr>
              <w:t>LifeStream Pharma n.v., Belgium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A28E6" w14:textId="77777777" w:rsidR="002E105E" w:rsidRPr="00A214A4" w:rsidRDefault="002E105E" w:rsidP="0087610E">
            <w:pPr>
              <w:jc w:val="center"/>
              <w:rPr>
                <w:rFonts w:ascii="Calibri" w:hAnsi="Calibri" w:cs="Calibri"/>
              </w:rPr>
            </w:pPr>
            <w:r w:rsidRPr="00A214A4">
              <w:rPr>
                <w:rFonts w:ascii="Calibri" w:hAnsi="Calibri" w:cs="Calibri"/>
              </w:rPr>
              <w:t>/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FE0F7" w14:textId="77777777" w:rsidR="002E105E" w:rsidRPr="00A214A4" w:rsidRDefault="002E105E" w:rsidP="0087610E">
            <w:pPr>
              <w:jc w:val="center"/>
              <w:rPr>
                <w:rFonts w:ascii="Calibri" w:hAnsi="Calibri" w:cs="Calibri"/>
              </w:rPr>
            </w:pPr>
            <w:r w:rsidRPr="00B974EB">
              <w:rPr>
                <w:rFonts w:ascii="Calibri" w:hAnsi="Calibri" w:cs="Calibri"/>
              </w:rPr>
              <w:t>9,43</w:t>
            </w:r>
          </w:p>
        </w:tc>
      </w:tr>
    </w:tbl>
    <w:p w14:paraId="51789521" w14:textId="77777777" w:rsidR="002E105E" w:rsidRDefault="002E105E" w:rsidP="002E105E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«.</w:t>
      </w:r>
    </w:p>
    <w:p w14:paraId="19FE070E" w14:textId="77777777" w:rsidR="002E105E" w:rsidRDefault="002E105E" w:rsidP="002E105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PREHODNA IN KONČNA DOLOČBA</w:t>
      </w:r>
    </w:p>
    <w:p w14:paraId="4161656C" w14:textId="77777777" w:rsidR="002E105E" w:rsidRDefault="002E105E" w:rsidP="002E105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A58C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7CC90F" w14:textId="77777777" w:rsidR="002E105E" w:rsidRDefault="002E105E" w:rsidP="002E105E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člen</w:t>
      </w:r>
    </w:p>
    <w:p w14:paraId="5E3A22B5" w14:textId="77777777" w:rsidR="002E105E" w:rsidRDefault="002E105E" w:rsidP="002E105E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p w14:paraId="775266EC" w14:textId="77777777" w:rsidR="002E105E" w:rsidRDefault="002E105E" w:rsidP="002E105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234B68">
        <w:rPr>
          <w:rFonts w:asciiTheme="minorHAnsi" w:hAnsiTheme="minorHAnsi" w:cstheme="minorHAnsi"/>
          <w:sz w:val="22"/>
          <w:szCs w:val="22"/>
        </w:rPr>
        <w:t>Sklep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234B68">
        <w:rPr>
          <w:rFonts w:asciiTheme="minorHAnsi" w:hAnsiTheme="minorHAnsi" w:cstheme="minorHAnsi"/>
          <w:sz w:val="22"/>
          <w:szCs w:val="22"/>
        </w:rPr>
        <w:t xml:space="preserve"> o spremembah in dopolnitvah Sklepa o določitvi cenovnih standardov medicinskih pripomočkov iz obveznega zdravstvenega zavarovanja</w:t>
      </w:r>
      <w:r>
        <w:rPr>
          <w:rFonts w:asciiTheme="minorHAnsi" w:hAnsiTheme="minorHAnsi" w:cstheme="minorHAnsi"/>
          <w:sz w:val="22"/>
          <w:szCs w:val="22"/>
        </w:rPr>
        <w:t xml:space="preserve"> št. 0072-15/2024-DI/</w:t>
      </w:r>
      <w:r w:rsidRPr="00AB16B9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 z dne 24. 9. 2024, se 2. člen spremeni, tako da se glasi:</w:t>
      </w:r>
    </w:p>
    <w:p w14:paraId="2F435E87" w14:textId="77777777" w:rsidR="002E105E" w:rsidRDefault="002E105E" w:rsidP="002E105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468E1F02" w14:textId="77777777" w:rsidR="002E105E" w:rsidRDefault="002E105E" w:rsidP="002E105E">
      <w:pPr>
        <w:ind w:firstLine="42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»2. člen</w:t>
      </w:r>
    </w:p>
    <w:p w14:paraId="554871E2" w14:textId="77777777" w:rsidR="002E105E" w:rsidRDefault="002E105E" w:rsidP="002E105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5745C2FE" w14:textId="77777777" w:rsidR="002E105E" w:rsidRPr="00234B68" w:rsidRDefault="002E105E" w:rsidP="002E105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Pr="00234B68">
        <w:rPr>
          <w:rFonts w:asciiTheme="minorHAnsi" w:hAnsiTheme="minorHAnsi" w:cstheme="minorHAnsi"/>
          <w:sz w:val="22"/>
          <w:szCs w:val="22"/>
        </w:rPr>
        <w:t>Sklep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234B68">
        <w:rPr>
          <w:rFonts w:asciiTheme="minorHAnsi" w:hAnsiTheme="minorHAnsi" w:cstheme="minorHAnsi"/>
          <w:sz w:val="22"/>
          <w:szCs w:val="22"/>
        </w:rPr>
        <w:t xml:space="preserve"> o spremembah in dopolnitvah Sklepa o določitvi cenovnih standardov medicinskih pripomočkov iz obveznega zdravstvenega zavarovanja</w:t>
      </w:r>
      <w:r>
        <w:rPr>
          <w:rFonts w:asciiTheme="minorHAnsi" w:hAnsiTheme="minorHAnsi" w:cstheme="minorHAnsi"/>
          <w:sz w:val="22"/>
          <w:szCs w:val="22"/>
        </w:rPr>
        <w:t>, š</w:t>
      </w:r>
      <w:r w:rsidRPr="00D807FE">
        <w:rPr>
          <w:rFonts w:asciiTheme="minorHAnsi" w:hAnsiTheme="minorHAnsi" w:cstheme="minorHAnsi"/>
          <w:sz w:val="22"/>
          <w:szCs w:val="22"/>
        </w:rPr>
        <w:t xml:space="preserve">t. </w:t>
      </w:r>
      <w:r w:rsidRPr="005C5198">
        <w:rPr>
          <w:rFonts w:asciiTheme="minorHAnsi" w:hAnsiTheme="minorHAnsi" w:cstheme="minorHAnsi"/>
          <w:sz w:val="22"/>
          <w:szCs w:val="22"/>
        </w:rPr>
        <w:t>0072-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5C5198">
        <w:rPr>
          <w:rFonts w:asciiTheme="minorHAnsi" w:hAnsiTheme="minorHAnsi" w:cstheme="minorHAnsi"/>
          <w:sz w:val="22"/>
          <w:szCs w:val="22"/>
        </w:rPr>
        <w:t>/2024-DI/</w:t>
      </w:r>
      <w:r>
        <w:rPr>
          <w:rFonts w:asciiTheme="minorHAnsi" w:hAnsiTheme="minorHAnsi" w:cstheme="minorHAnsi"/>
          <w:sz w:val="22"/>
          <w:szCs w:val="22"/>
        </w:rPr>
        <w:t>5, z dne 18. 7. 2024, se v 6. členu besedilo »1. 10. 2024« spremeni, tako da se po novem glasi »1. 12. 2024, razen točke a. 3. člena, ki se začne uporabljati 1. 1. 2025«.«</w:t>
      </w:r>
    </w:p>
    <w:p w14:paraId="2A566696" w14:textId="77777777" w:rsidR="002E105E" w:rsidRPr="00234B68" w:rsidRDefault="002E105E" w:rsidP="002E105E">
      <w:pPr>
        <w:ind w:firstLine="426"/>
        <w:jc w:val="center"/>
        <w:rPr>
          <w:rFonts w:asciiTheme="minorHAnsi" w:hAnsiTheme="minorHAnsi" w:cstheme="minorHAnsi"/>
          <w:sz w:val="22"/>
          <w:szCs w:val="22"/>
        </w:rPr>
      </w:pPr>
    </w:p>
    <w:p w14:paraId="4FAA59F0" w14:textId="77777777" w:rsidR="002E105E" w:rsidRDefault="002E105E" w:rsidP="002E105E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p w14:paraId="55493709" w14:textId="77777777" w:rsidR="002E105E" w:rsidRPr="00234B68" w:rsidRDefault="002E105E" w:rsidP="002E105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74D12EDB" w14:textId="77777777" w:rsidR="002E105E" w:rsidRPr="00D807FE" w:rsidRDefault="002E105E" w:rsidP="002E105E">
      <w:pPr>
        <w:rPr>
          <w:rFonts w:asciiTheme="minorHAnsi" w:hAnsiTheme="minorHAnsi" w:cstheme="minorHAnsi"/>
          <w:sz w:val="22"/>
          <w:szCs w:val="22"/>
        </w:rPr>
      </w:pPr>
    </w:p>
    <w:p w14:paraId="17FF788E" w14:textId="77777777" w:rsidR="002E105E" w:rsidRPr="00D807FE" w:rsidRDefault="002E105E" w:rsidP="002E105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4</w:t>
      </w:r>
      <w:r w:rsidRPr="00D807FE">
        <w:rPr>
          <w:rFonts w:asciiTheme="minorHAnsi" w:hAnsiTheme="minorHAnsi" w:cstheme="minorHAnsi"/>
          <w:sz w:val="22"/>
          <w:szCs w:val="22"/>
        </w:rPr>
        <w:t>. člen</w:t>
      </w:r>
    </w:p>
    <w:p w14:paraId="3EC08FC4" w14:textId="77777777" w:rsidR="002E105E" w:rsidRPr="00D807FE" w:rsidRDefault="002E105E" w:rsidP="002E105E">
      <w:pPr>
        <w:rPr>
          <w:rFonts w:asciiTheme="minorHAnsi" w:hAnsiTheme="minorHAnsi" w:cstheme="minorHAnsi"/>
          <w:sz w:val="22"/>
          <w:szCs w:val="22"/>
        </w:rPr>
      </w:pPr>
    </w:p>
    <w:p w14:paraId="7C58242C" w14:textId="77777777" w:rsidR="002E105E" w:rsidRPr="00B53454" w:rsidRDefault="002E105E" w:rsidP="002E105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Ta sklep </w:t>
      </w:r>
      <w:r>
        <w:rPr>
          <w:rFonts w:asciiTheme="minorHAnsi" w:hAnsiTheme="minorHAnsi" w:cstheme="minorHAnsi"/>
          <w:sz w:val="22"/>
          <w:szCs w:val="22"/>
        </w:rPr>
        <w:t xml:space="preserve">začne veljati naslednji dan po </w:t>
      </w:r>
      <w:r w:rsidRPr="00D807FE">
        <w:rPr>
          <w:rFonts w:asciiTheme="minorHAnsi" w:hAnsiTheme="minorHAnsi" w:cstheme="minorHAnsi"/>
          <w:sz w:val="22"/>
          <w:szCs w:val="22"/>
        </w:rPr>
        <w:t>objavi na spletni strani Zavoda za zdravstveno zavarovanje Slovenije</w:t>
      </w:r>
      <w:r>
        <w:rPr>
          <w:rFonts w:asciiTheme="minorHAnsi" w:hAnsiTheme="minorHAnsi" w:cstheme="minorHAnsi"/>
          <w:sz w:val="22"/>
          <w:szCs w:val="22"/>
        </w:rPr>
        <w:t>, uporabljati pa se začne 1. 12. 2024, razen 1. člena, ki se začne uporabljati 1. 1. 2025</w:t>
      </w:r>
      <w:r w:rsidRPr="00B53454">
        <w:rPr>
          <w:rFonts w:asciiTheme="minorHAnsi" w:hAnsiTheme="minorHAnsi" w:cstheme="minorHAnsi"/>
          <w:sz w:val="22"/>
          <w:szCs w:val="22"/>
        </w:rPr>
        <w:t>.</w:t>
      </w:r>
    </w:p>
    <w:p w14:paraId="5C70A13F" w14:textId="77777777" w:rsidR="002E105E" w:rsidRPr="00D807FE" w:rsidRDefault="002E105E" w:rsidP="002E105E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67E6D210" w14:textId="77777777" w:rsidR="002E105E" w:rsidRPr="00D807FE" w:rsidRDefault="002E105E" w:rsidP="002E105E">
      <w:pPr>
        <w:rPr>
          <w:rFonts w:asciiTheme="minorHAnsi" w:hAnsiTheme="minorHAnsi" w:cstheme="minorHAnsi"/>
          <w:sz w:val="22"/>
          <w:szCs w:val="22"/>
        </w:rPr>
      </w:pPr>
    </w:p>
    <w:p w14:paraId="1D15AA66" w14:textId="77777777" w:rsidR="002E105E" w:rsidRPr="00D807FE" w:rsidRDefault="002E105E" w:rsidP="002E105E">
      <w:pPr>
        <w:rPr>
          <w:rFonts w:asciiTheme="minorHAnsi" w:hAnsiTheme="minorHAnsi" w:cstheme="minorHAnsi"/>
          <w:sz w:val="22"/>
          <w:szCs w:val="22"/>
        </w:rPr>
      </w:pPr>
    </w:p>
    <w:p w14:paraId="6336C4D3" w14:textId="77777777" w:rsidR="002E105E" w:rsidRPr="005C5198" w:rsidRDefault="002E105E" w:rsidP="002E105E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Št. </w:t>
      </w:r>
      <w:r>
        <w:rPr>
          <w:rFonts w:asciiTheme="minorHAnsi" w:hAnsiTheme="minorHAnsi" w:cstheme="minorHAnsi"/>
          <w:sz w:val="22"/>
          <w:szCs w:val="22"/>
        </w:rPr>
        <w:t>0072-15/2024-DI/8</w:t>
      </w:r>
    </w:p>
    <w:p w14:paraId="4729AE37" w14:textId="77777777" w:rsidR="002E105E" w:rsidRDefault="002E105E" w:rsidP="002E105E">
      <w:pPr>
        <w:rPr>
          <w:rFonts w:asciiTheme="minorHAnsi" w:hAnsiTheme="minorHAnsi" w:cstheme="minorHAnsi"/>
          <w:sz w:val="22"/>
          <w:szCs w:val="22"/>
        </w:rPr>
      </w:pPr>
      <w:r w:rsidRPr="00D807FE">
        <w:rPr>
          <w:rFonts w:asciiTheme="minorHAnsi" w:hAnsiTheme="minorHAnsi" w:cstheme="minorHAnsi"/>
          <w:sz w:val="22"/>
          <w:szCs w:val="22"/>
        </w:rPr>
        <w:t xml:space="preserve">Ljubljana, </w:t>
      </w:r>
      <w:bookmarkStart w:id="0" w:name="_Hlk92702586"/>
      <w:r w:rsidRPr="00CD607E">
        <w:rPr>
          <w:rFonts w:asciiTheme="minorHAnsi" w:hAnsiTheme="minorHAnsi" w:cstheme="minorHAnsi"/>
          <w:sz w:val="22"/>
          <w:szCs w:val="22"/>
        </w:rPr>
        <w:t xml:space="preserve">dne </w:t>
      </w:r>
      <w:bookmarkEnd w:id="0"/>
      <w:r>
        <w:rPr>
          <w:rFonts w:asciiTheme="minorHAnsi" w:hAnsiTheme="minorHAnsi" w:cstheme="minorHAnsi"/>
          <w:sz w:val="22"/>
          <w:szCs w:val="22"/>
        </w:rPr>
        <w:t>10. oktobra 2024</w:t>
      </w:r>
    </w:p>
    <w:p w14:paraId="250D4C79" w14:textId="77777777" w:rsidR="002E105E" w:rsidRPr="00D807FE" w:rsidRDefault="002E105E" w:rsidP="002E105E">
      <w:pPr>
        <w:rPr>
          <w:rFonts w:asciiTheme="minorHAnsi" w:hAnsiTheme="minorHAnsi" w:cstheme="minorHAnsi"/>
          <w:sz w:val="22"/>
          <w:szCs w:val="22"/>
        </w:rPr>
      </w:pPr>
    </w:p>
    <w:p w14:paraId="0A3B854B" w14:textId="77777777" w:rsidR="002E105E" w:rsidRDefault="002E105E" w:rsidP="002E105E">
      <w:pPr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>Zavod za zdravstveno zavarovanje </w:t>
      </w:r>
    </w:p>
    <w:p w14:paraId="28753EBA" w14:textId="77777777" w:rsidR="002E105E" w:rsidRPr="00132CBA" w:rsidRDefault="002E105E" w:rsidP="002E105E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32CBA">
        <w:rPr>
          <w:rFonts w:asciiTheme="minorHAnsi" w:hAnsiTheme="minorHAnsi" w:cstheme="minorHAnsi"/>
          <w:sz w:val="22"/>
          <w:szCs w:val="22"/>
        </w:rPr>
        <w:t>Slovenije</w:t>
      </w:r>
    </w:p>
    <w:p w14:paraId="34F42D0E" w14:textId="77777777" w:rsidR="002E105E" w:rsidRPr="00132CBA" w:rsidRDefault="002E105E" w:rsidP="002E105E">
      <w:pPr>
        <w:ind w:left="4950" w:firstLine="714"/>
        <w:jc w:val="both"/>
        <w:rPr>
          <w:rFonts w:asciiTheme="minorHAnsi" w:hAnsiTheme="minorHAnsi" w:cstheme="minorHAnsi"/>
          <w:sz w:val="22"/>
          <w:szCs w:val="22"/>
        </w:rPr>
      </w:pPr>
      <w:r w:rsidRPr="00132CB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132CBA">
        <w:rPr>
          <w:rFonts w:asciiTheme="minorHAnsi" w:hAnsiTheme="minorHAnsi" w:cstheme="minorHAnsi"/>
          <w:sz w:val="22"/>
          <w:szCs w:val="22"/>
        </w:rPr>
        <w:t>Irena Ilešič Čujovič</w:t>
      </w:r>
    </w:p>
    <w:p w14:paraId="2F69F0AD" w14:textId="16713081" w:rsidR="00027E5A" w:rsidRDefault="002E105E" w:rsidP="002E105E"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Pr="00132CBA">
        <w:rPr>
          <w:rFonts w:asciiTheme="minorHAnsi" w:hAnsiTheme="minorHAnsi" w:cstheme="minorHAnsi"/>
          <w:sz w:val="22"/>
          <w:szCs w:val="22"/>
        </w:rPr>
        <w:t>predsednica upravnega odbora</w:t>
      </w:r>
    </w:p>
    <w:sectPr w:rsidR="00027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E"/>
    <w:rsid w:val="00027E5A"/>
    <w:rsid w:val="001A6D89"/>
    <w:rsid w:val="001D7220"/>
    <w:rsid w:val="002E105E"/>
    <w:rsid w:val="009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B0B8"/>
  <w15:chartTrackingRefBased/>
  <w15:docId w15:val="{95AB7DA1-8038-4CD1-9B09-AA72290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10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POPMP</dc:creator>
  <cp:keywords/>
  <dc:description/>
  <cp:lastModifiedBy>Tatjana Herjavec</cp:lastModifiedBy>
  <cp:revision>2</cp:revision>
  <dcterms:created xsi:type="dcterms:W3CDTF">2024-10-14T07:24:00Z</dcterms:created>
  <dcterms:modified xsi:type="dcterms:W3CDTF">2024-10-14T07:24:00Z</dcterms:modified>
</cp:coreProperties>
</file>