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74B5" w14:textId="1FE5E949" w:rsidR="004E2A5B" w:rsidRPr="00C60C97" w:rsidRDefault="004E2A5B" w:rsidP="00C60C97">
      <w:pPr>
        <w:pStyle w:val="Naslov"/>
        <w:jc w:val="both"/>
        <w:rPr>
          <w:rFonts w:eastAsia="Times New Roman"/>
          <w:sz w:val="52"/>
          <w:szCs w:val="52"/>
          <w:shd w:val="clear" w:color="auto" w:fill="FFFFFF"/>
          <w:lang w:val="sl-SI"/>
        </w:rPr>
      </w:pPr>
      <w:r w:rsidRPr="00C60C97">
        <w:rPr>
          <w:rFonts w:eastAsia="Times New Roman"/>
          <w:sz w:val="52"/>
          <w:szCs w:val="52"/>
          <w:shd w:val="clear" w:color="auto" w:fill="FFFFFF"/>
          <w:lang w:val="sl-SI"/>
        </w:rPr>
        <w:t>Na</w:t>
      </w:r>
      <w:r w:rsidR="008A5CCE" w:rsidRPr="00C60C97">
        <w:rPr>
          <w:rFonts w:eastAsia="Times New Roman"/>
          <w:sz w:val="52"/>
          <w:szCs w:val="52"/>
          <w:shd w:val="clear" w:color="auto" w:fill="FFFFFF"/>
          <w:lang w:val="sl-SI"/>
        </w:rPr>
        <w:t>potki za razvijalce v zvezi z obstoječimi funkcionalnostmi in novimi karticami KZZ in PK</w:t>
      </w:r>
    </w:p>
    <w:p w14:paraId="3AEDB952" w14:textId="6216C4BF" w:rsidR="004E2A5B" w:rsidRDefault="004E2A5B" w:rsidP="00C60C97">
      <w:pPr>
        <w:spacing w:after="0" w:line="240" w:lineRule="auto"/>
        <w:jc w:val="both"/>
        <w:rPr>
          <w:rFonts w:ascii="Arial" w:eastAsia="Times New Roman" w:hAnsi="Arial" w:cs="Arial"/>
          <w:color w:val="222222"/>
          <w:sz w:val="24"/>
          <w:szCs w:val="24"/>
          <w:shd w:val="clear" w:color="auto" w:fill="FFFFFF"/>
          <w:lang w:val="sl-SI"/>
        </w:rPr>
      </w:pPr>
    </w:p>
    <w:p w14:paraId="1E86B9BE" w14:textId="77777777" w:rsidR="00C60C97" w:rsidRPr="004E2A5B" w:rsidRDefault="00C60C97" w:rsidP="00C60C97">
      <w:pPr>
        <w:spacing w:after="0" w:line="240" w:lineRule="auto"/>
        <w:jc w:val="both"/>
        <w:rPr>
          <w:rFonts w:ascii="Arial" w:eastAsia="Times New Roman" w:hAnsi="Arial" w:cs="Arial"/>
          <w:color w:val="222222"/>
          <w:sz w:val="24"/>
          <w:szCs w:val="24"/>
          <w:shd w:val="clear" w:color="auto" w:fill="FFFFFF"/>
          <w:lang w:val="sl-SI"/>
        </w:rPr>
      </w:pPr>
    </w:p>
    <w:p w14:paraId="1C47A0C1" w14:textId="3507BD1C" w:rsidR="004E2A5B" w:rsidRDefault="008A5CCE" w:rsidP="00C60C97">
      <w:pPr>
        <w:jc w:val="both"/>
        <w:rPr>
          <w:shd w:val="clear" w:color="auto" w:fill="FFFFFF"/>
          <w:lang w:val="sl-SI"/>
        </w:rPr>
      </w:pPr>
      <w:r>
        <w:rPr>
          <w:shd w:val="clear" w:color="auto" w:fill="FFFFFF"/>
          <w:lang w:val="sl-SI"/>
        </w:rPr>
        <w:t xml:space="preserve">Nove kartice KZZ in PK </w:t>
      </w:r>
      <w:r w:rsidR="004E2A5B" w:rsidRPr="004E2A5B">
        <w:rPr>
          <w:shd w:val="clear" w:color="auto" w:fill="FFFFFF"/>
          <w:lang w:val="sl-SI"/>
        </w:rPr>
        <w:t>zagotavlja</w:t>
      </w:r>
      <w:r>
        <w:rPr>
          <w:shd w:val="clear" w:color="auto" w:fill="FFFFFF"/>
          <w:lang w:val="sl-SI"/>
        </w:rPr>
        <w:t>jo vse</w:t>
      </w:r>
      <w:r w:rsidR="004E2A5B" w:rsidRPr="004E2A5B">
        <w:rPr>
          <w:shd w:val="clear" w:color="auto" w:fill="FFFFFF"/>
          <w:lang w:val="sl-SI"/>
        </w:rPr>
        <w:t xml:space="preserve"> do sedaj obstoječe funkcionalnosti</w:t>
      </w:r>
      <w:r>
        <w:rPr>
          <w:shd w:val="clear" w:color="auto" w:fill="FFFFFF"/>
          <w:lang w:val="sl-SI"/>
        </w:rPr>
        <w:t xml:space="preserve"> na hitrejšem in sodobnejšem čipu, uvajajo pa tudi številne novosti kot so brezstični vmesnik, podpora za eliptične algoritme, biometrijo. Za podporo novih kartic v obstoječih sistemih in na obstoječih funkcionalnostih so potrebne določene prilagoditve, ki jih bomo skušali zajeti v pričujočem dokumentu.</w:t>
      </w:r>
    </w:p>
    <w:p w14:paraId="49B74396" w14:textId="51B3420A" w:rsidR="008A5CCE" w:rsidRPr="004E2A5B" w:rsidRDefault="008A5CCE" w:rsidP="00C60C97">
      <w:pPr>
        <w:jc w:val="both"/>
        <w:rPr>
          <w:lang w:val="sl-SI"/>
        </w:rPr>
      </w:pPr>
      <w:r>
        <w:rPr>
          <w:lang w:val="sl-SI"/>
        </w:rPr>
        <w:t>G</w:t>
      </w:r>
      <w:r w:rsidRPr="004E2A5B">
        <w:rPr>
          <w:lang w:val="sl-SI"/>
        </w:rPr>
        <w:t>lavne</w:t>
      </w:r>
      <w:r w:rsidR="00972749">
        <w:rPr>
          <w:lang w:val="sl-SI"/>
        </w:rPr>
        <w:t xml:space="preserve"> uporabniku oz. razvijalcu vidne</w:t>
      </w:r>
      <w:r w:rsidRPr="004E2A5B">
        <w:rPr>
          <w:lang w:val="sl-SI"/>
        </w:rPr>
        <w:t xml:space="preserve"> spremembe obstoječih funkcionalnosti na novih PK/KZZ karticah v primerjavi s starimi:</w:t>
      </w:r>
    </w:p>
    <w:p w14:paraId="16A8A065" w14:textId="77777777" w:rsidR="008A5CCE" w:rsidRPr="004E2A5B" w:rsidRDefault="008A5CCE" w:rsidP="00C60C97">
      <w:pPr>
        <w:pStyle w:val="Odstavekseznama"/>
        <w:numPr>
          <w:ilvl w:val="0"/>
          <w:numId w:val="8"/>
        </w:numPr>
        <w:jc w:val="both"/>
        <w:rPr>
          <w:lang w:val="sl-SI"/>
        </w:rPr>
      </w:pPr>
      <w:r w:rsidRPr="004E2A5B">
        <w:rPr>
          <w:lang w:val="sl-SI"/>
        </w:rPr>
        <w:t>na kartice PK in KZZ je omogočen dolg zapis imena in priimka (do 130 znakov tako za ime kot za priimek) ter njegovo kodiranje po UTF-8</w:t>
      </w:r>
    </w:p>
    <w:p w14:paraId="5E1E006E" w14:textId="04EE9AF1" w:rsidR="008A5CCE" w:rsidRPr="004E2A5B" w:rsidRDefault="008A5CCE" w:rsidP="00C60C97">
      <w:pPr>
        <w:pStyle w:val="Odstavekseznama"/>
        <w:numPr>
          <w:ilvl w:val="0"/>
          <w:numId w:val="8"/>
        </w:numPr>
        <w:jc w:val="both"/>
        <w:rPr>
          <w:lang w:val="sl-SI"/>
        </w:rPr>
      </w:pPr>
      <w:r w:rsidRPr="004E2A5B">
        <w:rPr>
          <w:lang w:val="sl-SI"/>
        </w:rPr>
        <w:t>na karticah PK in KZZ sta za vsako staro vrsto nekvalificiranega potrdila po novem zapisani po 2 potrdili (eno za uporabo za kriptiranje RSA in eno za eliptične krivulje), kar se lahko vidi v medprogramju Classic</w:t>
      </w:r>
      <w:r>
        <w:rPr>
          <w:lang w:val="sl-SI"/>
        </w:rPr>
        <w:t xml:space="preserve"> </w:t>
      </w:r>
      <w:r w:rsidRPr="004E2A5B">
        <w:rPr>
          <w:lang w:val="sl-SI"/>
        </w:rPr>
        <w:t>Client. Kvalificirano potrdilo na PK je še vedno eno samo za namene RSA kriptiranja dokumentov (npr. e-bolniški listi). Nekvalificirana potrdila imajo naslednji namen:</w:t>
      </w:r>
    </w:p>
    <w:p w14:paraId="40036F93" w14:textId="77777777" w:rsidR="008A5CCE" w:rsidRPr="004E2A5B" w:rsidRDefault="008A5CCE" w:rsidP="00C60C97">
      <w:pPr>
        <w:pStyle w:val="Odstavekseznama"/>
        <w:numPr>
          <w:ilvl w:val="1"/>
          <w:numId w:val="8"/>
        </w:numPr>
        <w:jc w:val="both"/>
        <w:rPr>
          <w:lang w:val="sl-SI"/>
        </w:rPr>
      </w:pPr>
      <w:r w:rsidRPr="004E2A5B">
        <w:rPr>
          <w:lang w:val="sl-SI"/>
        </w:rPr>
        <w:t>eno potrdilo na PK za prijavo v on</w:t>
      </w:r>
      <w:r>
        <w:rPr>
          <w:lang w:val="sl-SI"/>
        </w:rPr>
        <w:t>-</w:t>
      </w:r>
      <w:r w:rsidRPr="004E2A5B">
        <w:rPr>
          <w:lang w:val="sl-SI"/>
        </w:rPr>
        <w:t>line sistem</w:t>
      </w:r>
    </w:p>
    <w:p w14:paraId="5EDC3EA8" w14:textId="77777777" w:rsidR="008A5CCE" w:rsidRPr="004E2A5B" w:rsidRDefault="008A5CCE" w:rsidP="00C60C97">
      <w:pPr>
        <w:pStyle w:val="Odstavekseznama"/>
        <w:numPr>
          <w:ilvl w:val="1"/>
          <w:numId w:val="8"/>
        </w:numPr>
        <w:jc w:val="both"/>
        <w:rPr>
          <w:lang w:val="sl-SI"/>
        </w:rPr>
      </w:pPr>
      <w:r w:rsidRPr="004E2A5B">
        <w:rPr>
          <w:lang w:val="sl-SI"/>
        </w:rPr>
        <w:t>eno potrdilo na KZZ za avte</w:t>
      </w:r>
      <w:r>
        <w:rPr>
          <w:lang w:val="sl-SI"/>
        </w:rPr>
        <w:t>n</w:t>
      </w:r>
      <w:r w:rsidRPr="004E2A5B">
        <w:rPr>
          <w:lang w:val="sl-SI"/>
        </w:rPr>
        <w:t>tikacijo zahtevkov v imenu zavarovanca</w:t>
      </w:r>
    </w:p>
    <w:p w14:paraId="425C8E38" w14:textId="77777777" w:rsidR="008A5CCE" w:rsidRPr="004E2A5B" w:rsidRDefault="008A5CCE" w:rsidP="00C60C97">
      <w:pPr>
        <w:pStyle w:val="Odstavekseznama"/>
        <w:numPr>
          <w:ilvl w:val="1"/>
          <w:numId w:val="8"/>
        </w:numPr>
        <w:jc w:val="both"/>
        <w:rPr>
          <w:lang w:val="sl-SI"/>
        </w:rPr>
      </w:pPr>
      <w:r w:rsidRPr="004E2A5B">
        <w:rPr>
          <w:lang w:val="sl-SI"/>
        </w:rPr>
        <w:t>drugo potrdilo na KZZ za prijavo v zdravstveni portal (ta funkcionalnost se več ne uporablja, potrdilo pa je ohranjeno za morebitne razširitve v prihodnosti)</w:t>
      </w:r>
    </w:p>
    <w:p w14:paraId="73C8D65A" w14:textId="77777777" w:rsidR="008A5CCE" w:rsidRDefault="008A5CCE" w:rsidP="00C60C97">
      <w:pPr>
        <w:pStyle w:val="Odstavekseznama"/>
        <w:numPr>
          <w:ilvl w:val="0"/>
          <w:numId w:val="8"/>
        </w:numPr>
        <w:jc w:val="both"/>
        <w:rPr>
          <w:lang w:val="sl-SI"/>
        </w:rPr>
      </w:pPr>
      <w:r w:rsidRPr="004E2A5B">
        <w:rPr>
          <w:lang w:val="sl-SI"/>
        </w:rPr>
        <w:t>nove KZZ ne podpirajo več kompatibilnostnega načina (delovanja kot kartice prve generacije brez digitalnih potrdil) zato morajo tudi v primeru izbire kompatibilnostnega načina uporabljati digitalna potrdila in ne smejo prožiti medsebojne avtentikacij</w:t>
      </w:r>
      <w:r>
        <w:rPr>
          <w:lang w:val="sl-SI"/>
        </w:rPr>
        <w:t>e</w:t>
      </w:r>
      <w:r w:rsidRPr="004E2A5B">
        <w:rPr>
          <w:lang w:val="sl-SI"/>
        </w:rPr>
        <w:t xml:space="preserve"> za </w:t>
      </w:r>
      <w:r>
        <w:rPr>
          <w:lang w:val="sl-SI"/>
        </w:rPr>
        <w:t>ponastavljanje</w:t>
      </w:r>
      <w:r w:rsidRPr="004E2A5B">
        <w:rPr>
          <w:lang w:val="sl-SI"/>
        </w:rPr>
        <w:t xml:space="preserve"> števca dostopov do stare KZZ </w:t>
      </w:r>
    </w:p>
    <w:p w14:paraId="7AD43CFE" w14:textId="21412DBA" w:rsidR="008A5CCE" w:rsidRPr="004E2A5B" w:rsidRDefault="008A5CCE" w:rsidP="00C60C97">
      <w:pPr>
        <w:pStyle w:val="Odstavekseznama"/>
        <w:numPr>
          <w:ilvl w:val="0"/>
          <w:numId w:val="8"/>
        </w:numPr>
        <w:jc w:val="both"/>
        <w:rPr>
          <w:lang w:val="sl-SI"/>
        </w:rPr>
      </w:pPr>
      <w:r>
        <w:rPr>
          <w:lang w:val="sl-SI"/>
        </w:rPr>
        <w:t>novo medprogramje ClassicClient je podprto na Windows sistemih ki so trenutno pod podporo Microsoft (Windows 10, 8.1, Server 2012/R2, Server 2016). Razvoj za Windows XP ter Windows 7 tako ni več relevanten.</w:t>
      </w:r>
    </w:p>
    <w:p w14:paraId="4217A5B4" w14:textId="77777777" w:rsidR="004E2A5B" w:rsidRDefault="004E2A5B" w:rsidP="00C60C97">
      <w:pPr>
        <w:jc w:val="both"/>
        <w:rPr>
          <w:lang w:val="sl-SI"/>
        </w:rPr>
      </w:pPr>
    </w:p>
    <w:p w14:paraId="1B9980B5" w14:textId="226E257C" w:rsidR="004E2A5B" w:rsidRPr="004E2A5B" w:rsidRDefault="008A5CCE" w:rsidP="00C60C97">
      <w:pPr>
        <w:jc w:val="both"/>
        <w:rPr>
          <w:lang w:val="sl-SI"/>
        </w:rPr>
      </w:pPr>
      <w:r>
        <w:rPr>
          <w:lang w:val="sl-SI"/>
        </w:rPr>
        <w:t>Podpora in testiranje je smiselno za vse k</w:t>
      </w:r>
      <w:r w:rsidR="004E2A5B" w:rsidRPr="004E2A5B">
        <w:rPr>
          <w:lang w:val="sl-SI"/>
        </w:rPr>
        <w:t>ombinacije kartic:</w:t>
      </w:r>
    </w:p>
    <w:p w14:paraId="6AEB4EA8" w14:textId="77777777" w:rsidR="004E2A5B" w:rsidRPr="004E2A5B" w:rsidRDefault="004E2A5B" w:rsidP="00C60C97">
      <w:pPr>
        <w:pStyle w:val="Odstavekseznama"/>
        <w:numPr>
          <w:ilvl w:val="0"/>
          <w:numId w:val="6"/>
        </w:numPr>
        <w:jc w:val="both"/>
        <w:rPr>
          <w:lang w:val="sl-SI"/>
        </w:rPr>
      </w:pPr>
      <w:r w:rsidRPr="004E2A5B">
        <w:rPr>
          <w:lang w:val="sl-SI"/>
        </w:rPr>
        <w:t>nova PK in nova KZZ</w:t>
      </w:r>
    </w:p>
    <w:p w14:paraId="603577FE" w14:textId="77777777" w:rsidR="004E2A5B" w:rsidRPr="004E2A5B" w:rsidRDefault="004E2A5B" w:rsidP="00C60C97">
      <w:pPr>
        <w:pStyle w:val="Odstavekseznama"/>
        <w:numPr>
          <w:ilvl w:val="0"/>
          <w:numId w:val="6"/>
        </w:numPr>
        <w:jc w:val="both"/>
        <w:rPr>
          <w:lang w:val="sl-SI"/>
        </w:rPr>
      </w:pPr>
      <w:r w:rsidRPr="004E2A5B">
        <w:rPr>
          <w:lang w:val="sl-SI"/>
        </w:rPr>
        <w:t>nova PK in stara KZZ</w:t>
      </w:r>
    </w:p>
    <w:p w14:paraId="7E4939F0" w14:textId="58F89EB5" w:rsidR="004E2A5B" w:rsidRPr="004E2A5B" w:rsidRDefault="004E2A5B" w:rsidP="00C60C97">
      <w:pPr>
        <w:pStyle w:val="Odstavekseznama"/>
        <w:numPr>
          <w:ilvl w:val="0"/>
          <w:numId w:val="6"/>
        </w:numPr>
        <w:jc w:val="both"/>
        <w:rPr>
          <w:lang w:val="sl-SI"/>
        </w:rPr>
      </w:pPr>
      <w:r w:rsidRPr="004E2A5B">
        <w:rPr>
          <w:lang w:val="sl-SI"/>
        </w:rPr>
        <w:t>nova PK in KZZ prve generacije (</w:t>
      </w:r>
      <w:r w:rsidR="008A5CCE">
        <w:rPr>
          <w:lang w:val="sl-SI"/>
        </w:rPr>
        <w:t xml:space="preserve">t.j. </w:t>
      </w:r>
      <w:r w:rsidRPr="004E2A5B">
        <w:rPr>
          <w:lang w:val="sl-SI"/>
        </w:rPr>
        <w:t>kartice brez digitalnih potrdil</w:t>
      </w:r>
      <w:r w:rsidR="008A5CCE">
        <w:rPr>
          <w:lang w:val="sl-SI"/>
        </w:rPr>
        <w:t>, če so le-te na voljo</w:t>
      </w:r>
      <w:r w:rsidRPr="004E2A5B">
        <w:rPr>
          <w:lang w:val="sl-SI"/>
        </w:rPr>
        <w:t>)</w:t>
      </w:r>
    </w:p>
    <w:p w14:paraId="5A40B741" w14:textId="77777777" w:rsidR="004E2A5B" w:rsidRPr="004E2A5B" w:rsidRDefault="004E2A5B" w:rsidP="00C60C97">
      <w:pPr>
        <w:pStyle w:val="Odstavekseznama"/>
        <w:numPr>
          <w:ilvl w:val="0"/>
          <w:numId w:val="6"/>
        </w:numPr>
        <w:jc w:val="both"/>
        <w:rPr>
          <w:lang w:val="sl-SI"/>
        </w:rPr>
      </w:pPr>
      <w:r w:rsidRPr="004E2A5B">
        <w:rPr>
          <w:lang w:val="sl-SI"/>
        </w:rPr>
        <w:t>stara PK in nova KZZ</w:t>
      </w:r>
    </w:p>
    <w:p w14:paraId="7FC3173F" w14:textId="77777777" w:rsidR="004E2A5B" w:rsidRPr="004E2A5B" w:rsidRDefault="004E2A5B" w:rsidP="00C60C97">
      <w:pPr>
        <w:pStyle w:val="Odstavekseznama"/>
        <w:numPr>
          <w:ilvl w:val="0"/>
          <w:numId w:val="6"/>
        </w:numPr>
        <w:jc w:val="both"/>
        <w:rPr>
          <w:lang w:val="sl-SI"/>
        </w:rPr>
      </w:pPr>
      <w:r w:rsidRPr="004E2A5B">
        <w:rPr>
          <w:lang w:val="sl-SI"/>
        </w:rPr>
        <w:t>stara PK in stara KZZ</w:t>
      </w:r>
    </w:p>
    <w:p w14:paraId="7A5FB588" w14:textId="2BB37D90" w:rsidR="004E2A5B" w:rsidRPr="004E2A5B" w:rsidRDefault="004E2A5B" w:rsidP="00C60C97">
      <w:pPr>
        <w:pStyle w:val="Odstavekseznama"/>
        <w:numPr>
          <w:ilvl w:val="0"/>
          <w:numId w:val="6"/>
        </w:numPr>
        <w:jc w:val="both"/>
        <w:rPr>
          <w:lang w:val="sl-SI"/>
        </w:rPr>
      </w:pPr>
      <w:r w:rsidRPr="004E2A5B">
        <w:rPr>
          <w:lang w:val="sl-SI"/>
        </w:rPr>
        <w:t>stara PK in KZZ prve generacije (</w:t>
      </w:r>
      <w:r w:rsidR="008A5CCE">
        <w:rPr>
          <w:lang w:val="sl-SI"/>
        </w:rPr>
        <w:t xml:space="preserve">t.j. </w:t>
      </w:r>
      <w:r w:rsidRPr="004E2A5B">
        <w:rPr>
          <w:lang w:val="sl-SI"/>
        </w:rPr>
        <w:t>kartice brez digitalnih potrdil</w:t>
      </w:r>
      <w:r w:rsidR="008A5CCE">
        <w:rPr>
          <w:lang w:val="sl-SI"/>
        </w:rPr>
        <w:t>, če so le-te na voljo</w:t>
      </w:r>
      <w:r w:rsidRPr="004E2A5B">
        <w:rPr>
          <w:lang w:val="sl-SI"/>
        </w:rPr>
        <w:t>)</w:t>
      </w:r>
    </w:p>
    <w:p w14:paraId="76DB3B9D" w14:textId="77777777" w:rsidR="004E2A5B" w:rsidRDefault="004E2A5B" w:rsidP="00C60C97">
      <w:pPr>
        <w:jc w:val="both"/>
        <w:rPr>
          <w:lang w:val="sl-SI"/>
        </w:rPr>
      </w:pPr>
    </w:p>
    <w:p w14:paraId="73C8FEB3" w14:textId="77777777" w:rsidR="004E2A5B" w:rsidRPr="004E2A5B" w:rsidRDefault="004E2A5B" w:rsidP="00C60C97">
      <w:pPr>
        <w:jc w:val="both"/>
        <w:rPr>
          <w:lang w:val="sl-SI"/>
        </w:rPr>
      </w:pPr>
    </w:p>
    <w:p w14:paraId="437A8258" w14:textId="77777777" w:rsidR="004E2A5B" w:rsidRDefault="004E2A5B" w:rsidP="00C60C97">
      <w:pPr>
        <w:jc w:val="both"/>
        <w:rPr>
          <w:lang w:val="sl-SI"/>
        </w:rPr>
      </w:pPr>
    </w:p>
    <w:p w14:paraId="11AA4561" w14:textId="20F101A5" w:rsidR="00874319" w:rsidRDefault="00874319" w:rsidP="00C60C97">
      <w:pPr>
        <w:jc w:val="both"/>
        <w:rPr>
          <w:shd w:val="clear" w:color="auto" w:fill="FFFFFF"/>
          <w:lang w:val="sl-SI"/>
        </w:rPr>
      </w:pPr>
      <w:r>
        <w:rPr>
          <w:shd w:val="clear" w:color="auto" w:fill="FFFFFF"/>
          <w:lang w:val="sl-SI"/>
        </w:rPr>
        <w:t>Dostop do kartic je v splošnem možen v povezavi z medprogramjem proizvajalca (Thales Classic Client) preko različnih tehnologij:</w:t>
      </w:r>
    </w:p>
    <w:p w14:paraId="7C78FA5A" w14:textId="61850BAD" w:rsidR="00874319" w:rsidRDefault="00874319" w:rsidP="00C60C97">
      <w:pPr>
        <w:pStyle w:val="Odstavekseznama"/>
        <w:numPr>
          <w:ilvl w:val="0"/>
          <w:numId w:val="9"/>
        </w:numPr>
        <w:jc w:val="both"/>
        <w:rPr>
          <w:lang w:val="sl-SI"/>
        </w:rPr>
      </w:pPr>
      <w:r>
        <w:rPr>
          <w:lang w:val="sl-SI"/>
        </w:rPr>
        <w:t>MS CryptoAPI</w:t>
      </w:r>
      <w:r w:rsidR="00922922">
        <w:rPr>
          <w:lang w:val="sl-SI"/>
        </w:rPr>
        <w:t xml:space="preserve"> – podpira trenutne funkcionalnosti (RSA algoritmi) tako na starih kot novih KZZ in PK</w:t>
      </w:r>
    </w:p>
    <w:p w14:paraId="78EAEC74" w14:textId="1ED3BF1E" w:rsidR="00874319" w:rsidRDefault="00874319" w:rsidP="00C60C97">
      <w:pPr>
        <w:pStyle w:val="Odstavekseznama"/>
        <w:numPr>
          <w:ilvl w:val="0"/>
          <w:numId w:val="9"/>
        </w:numPr>
        <w:jc w:val="both"/>
        <w:rPr>
          <w:lang w:val="sl-SI"/>
        </w:rPr>
      </w:pPr>
      <w:r>
        <w:rPr>
          <w:lang w:val="sl-SI"/>
        </w:rPr>
        <w:t>MS CNG (CryptoAPI Next Generation/CryptoAPI2) – nujen za uporabo eliptičnih algoritmov, vendar ne podpira trenutnih funkcionalnosti kartice</w:t>
      </w:r>
    </w:p>
    <w:p w14:paraId="673721EE" w14:textId="6B32D194" w:rsidR="00874319" w:rsidRDefault="00874319" w:rsidP="00C60C97">
      <w:pPr>
        <w:pStyle w:val="Odstavekseznama"/>
        <w:numPr>
          <w:ilvl w:val="0"/>
          <w:numId w:val="9"/>
        </w:numPr>
        <w:jc w:val="both"/>
        <w:rPr>
          <w:lang w:val="sl-SI"/>
        </w:rPr>
      </w:pPr>
      <w:r>
        <w:rPr>
          <w:lang w:val="sl-SI"/>
        </w:rPr>
        <w:t xml:space="preserve">PKCS#11 </w:t>
      </w:r>
      <w:r w:rsidR="00922922">
        <w:rPr>
          <w:lang w:val="sl-SI"/>
        </w:rPr>
        <w:t>– podpira funkcionalnosti obeh generacij</w:t>
      </w:r>
    </w:p>
    <w:p w14:paraId="5A802B3A" w14:textId="47A11913" w:rsidR="00260392" w:rsidRDefault="00260392" w:rsidP="00C60C97">
      <w:pPr>
        <w:jc w:val="both"/>
        <w:rPr>
          <w:lang w:val="sl-SI"/>
        </w:rPr>
      </w:pPr>
      <w:r>
        <w:rPr>
          <w:lang w:val="sl-SI"/>
        </w:rPr>
        <w:t>Tu je potrebno opozoriti na izziv s katerim se bodo soočale vse rešitve, ki bazirajo na MS tehnologi CryptoAPI za uporabo RSA kritografije. Ob vpeljavi podpore za eliptične krivulje jih bo treba dopolniti še s CNG</w:t>
      </w:r>
      <w:r w:rsidR="00972749">
        <w:rPr>
          <w:lang w:val="sl-SI"/>
        </w:rPr>
        <w:t>, saj vsaka tehnologija podpira svoj nabor kriptografskih algoritmov. Da bi torej delali hkrati z RSA in eliptičnimi algoritmi, je potrebno implemenitrati rešitev hkrati z CryptoAPI in CNG, ali pa rešitev enotno izvesti s pomočjo PKCS#11. Priporočamo da se zaradi hitrejše integracije začetno prilagoditev naredi samo v okviru podpore že obstoječih RSA funkcionalnosti.</w:t>
      </w:r>
    </w:p>
    <w:p w14:paraId="0A4BD263" w14:textId="77777777" w:rsidR="00972749" w:rsidRDefault="00972749" w:rsidP="00C60C97">
      <w:pPr>
        <w:jc w:val="both"/>
        <w:rPr>
          <w:lang w:val="sl-SI"/>
        </w:rPr>
      </w:pPr>
    </w:p>
    <w:p w14:paraId="5519E32E" w14:textId="3D539A9E" w:rsidR="00874319" w:rsidRPr="00874319" w:rsidRDefault="00972749" w:rsidP="00C60C97">
      <w:pPr>
        <w:jc w:val="both"/>
        <w:rPr>
          <w:lang w:val="sl-SI"/>
        </w:rPr>
      </w:pPr>
      <w:r>
        <w:rPr>
          <w:lang w:val="sl-SI"/>
        </w:rPr>
        <w:t xml:space="preserve">V rešitvah </w:t>
      </w:r>
      <w:r w:rsidR="00874319">
        <w:rPr>
          <w:lang w:val="sl-SI"/>
        </w:rPr>
        <w:t xml:space="preserve">je </w:t>
      </w:r>
      <w:r>
        <w:rPr>
          <w:lang w:val="sl-SI"/>
        </w:rPr>
        <w:t xml:space="preserve">običajen </w:t>
      </w:r>
      <w:r w:rsidR="00874319">
        <w:rPr>
          <w:lang w:val="sl-SI"/>
        </w:rPr>
        <w:t>tudi dostop do kartic preko nizkonivojskih ukazov APDU, s katerimi so realizirane nekatere operacije specifične za ZZZS KZZ in PK, ki jih splošna funkcionalnost medprogramja</w:t>
      </w:r>
      <w:r w:rsidR="00922922">
        <w:rPr>
          <w:lang w:val="sl-SI"/>
        </w:rPr>
        <w:t xml:space="preserve"> in zgoraj navedenih tehnologij</w:t>
      </w:r>
      <w:r w:rsidR="00874319">
        <w:rPr>
          <w:lang w:val="sl-SI"/>
        </w:rPr>
        <w:t xml:space="preserve"> ne podpira.</w:t>
      </w:r>
    </w:p>
    <w:p w14:paraId="322E75A9" w14:textId="3C75F0BB" w:rsidR="00874319" w:rsidRDefault="00874319" w:rsidP="00C60C97">
      <w:pPr>
        <w:jc w:val="both"/>
        <w:rPr>
          <w:lang w:val="sl-SI"/>
        </w:rPr>
      </w:pPr>
    </w:p>
    <w:p w14:paraId="13A10C2E" w14:textId="541BD800" w:rsidR="00922922" w:rsidRDefault="00922922" w:rsidP="00C60C97">
      <w:pPr>
        <w:jc w:val="both"/>
        <w:rPr>
          <w:lang w:val="sl-SI"/>
        </w:rPr>
      </w:pPr>
      <w:r>
        <w:rPr>
          <w:lang w:val="sl-SI"/>
        </w:rPr>
        <w:t xml:space="preserve">Prilagoditve so potrebne v odvisnosti od trenutne implementacije rešitve – če se uporabljajo posamezne operacije, je potrebno zanje narediti </w:t>
      </w:r>
      <w:r w:rsidR="001C120D">
        <w:rPr>
          <w:lang w:val="sl-SI"/>
        </w:rPr>
        <w:t xml:space="preserve">za nove kartice </w:t>
      </w:r>
      <w:r>
        <w:rPr>
          <w:lang w:val="sl-SI"/>
        </w:rPr>
        <w:t>določene prilagoditve, kar skušamo ponazoriti v naslednjih razdelkih.</w:t>
      </w:r>
      <w:r w:rsidR="001C120D">
        <w:rPr>
          <w:lang w:val="sl-SI"/>
        </w:rPr>
        <w:t xml:space="preserve"> Pri tem je potrebno poudariti da morajo stare kartice še vedno delovati na enak način kot doslej, zato se </w:t>
      </w:r>
      <w:r w:rsidR="00136250">
        <w:rPr>
          <w:lang w:val="sl-SI"/>
        </w:rPr>
        <w:t xml:space="preserve">pri teh funkcionalnostih </w:t>
      </w:r>
      <w:r w:rsidR="001C120D">
        <w:rPr>
          <w:lang w:val="sl-SI"/>
        </w:rPr>
        <w:t>uvaja dualnost</w:t>
      </w:r>
      <w:r w:rsidR="00136250">
        <w:rPr>
          <w:lang w:val="sl-SI"/>
        </w:rPr>
        <w:t>, t.j. različno delovanje za stare in nove kartice</w:t>
      </w:r>
      <w:r w:rsidR="001C120D">
        <w:rPr>
          <w:lang w:val="sl-SI"/>
        </w:rPr>
        <w:t>.</w:t>
      </w:r>
      <w:r>
        <w:rPr>
          <w:lang w:val="sl-SI"/>
        </w:rPr>
        <w:t xml:space="preserve"> Predlagamo da dokument uporabite tako da za vsako operacijo oz. tehnologijo v naslednjih razdelkih identificirate ali se uporablja v vaši rešitvi in preučite potrebne prilagoditve.</w:t>
      </w:r>
    </w:p>
    <w:p w14:paraId="4657EF15" w14:textId="77777777" w:rsidR="00922922" w:rsidRDefault="00922922" w:rsidP="00C60C97">
      <w:pPr>
        <w:jc w:val="both"/>
        <w:rPr>
          <w:lang w:val="sl-SI"/>
        </w:rPr>
      </w:pPr>
    </w:p>
    <w:p w14:paraId="4B725372" w14:textId="09B55472" w:rsidR="00922922" w:rsidRDefault="00A9192F" w:rsidP="00C60C97">
      <w:pPr>
        <w:pStyle w:val="Naslov1"/>
        <w:jc w:val="both"/>
        <w:rPr>
          <w:lang w:val="sl-SI"/>
        </w:rPr>
      </w:pPr>
      <w:bookmarkStart w:id="0" w:name="_Hlk69968384"/>
      <w:r>
        <w:rPr>
          <w:lang w:val="sl-SI"/>
        </w:rPr>
        <w:t xml:space="preserve">APDU: </w:t>
      </w:r>
      <w:r w:rsidR="0093156F">
        <w:rPr>
          <w:lang w:val="sl-SI"/>
        </w:rPr>
        <w:t xml:space="preserve">Procesiranje </w:t>
      </w:r>
      <w:r w:rsidR="00922922">
        <w:rPr>
          <w:lang w:val="sl-SI"/>
        </w:rPr>
        <w:t>vsebine datoteke EF.GDO</w:t>
      </w:r>
      <w:r w:rsidR="001C120D">
        <w:rPr>
          <w:lang w:val="sl-SI"/>
        </w:rPr>
        <w:t xml:space="preserve"> </w:t>
      </w:r>
      <w:r w:rsidR="00392685">
        <w:rPr>
          <w:lang w:val="sl-SI"/>
        </w:rPr>
        <w:t>in</w:t>
      </w:r>
      <w:r w:rsidR="001C120D">
        <w:rPr>
          <w:lang w:val="sl-SI"/>
        </w:rPr>
        <w:t xml:space="preserve"> EF.HPD</w:t>
      </w:r>
    </w:p>
    <w:p w14:paraId="09397D0C" w14:textId="77777777" w:rsidR="00136250" w:rsidRDefault="0093156F" w:rsidP="00C60C97">
      <w:pPr>
        <w:jc w:val="both"/>
        <w:rPr>
          <w:lang w:val="sl-SI"/>
        </w:rPr>
      </w:pPr>
      <w:r>
        <w:rPr>
          <w:lang w:val="sl-SI"/>
        </w:rPr>
        <w:t xml:space="preserve">Ozadje: </w:t>
      </w:r>
    </w:p>
    <w:p w14:paraId="48A4509E" w14:textId="708F5B2B" w:rsidR="00136250" w:rsidRDefault="0093156F" w:rsidP="00C60C97">
      <w:pPr>
        <w:pStyle w:val="Odstavekseznama"/>
        <w:numPr>
          <w:ilvl w:val="0"/>
          <w:numId w:val="15"/>
        </w:numPr>
        <w:jc w:val="both"/>
        <w:rPr>
          <w:lang w:val="sl-SI"/>
        </w:rPr>
      </w:pPr>
      <w:r w:rsidRPr="00136250">
        <w:rPr>
          <w:lang w:val="sl-SI"/>
        </w:rPr>
        <w:t>Datotek</w:t>
      </w:r>
      <w:r w:rsidR="001C120D" w:rsidRPr="00136250">
        <w:rPr>
          <w:lang w:val="sl-SI"/>
        </w:rPr>
        <w:t>i</w:t>
      </w:r>
      <w:r w:rsidRPr="00136250">
        <w:rPr>
          <w:lang w:val="sl-SI"/>
        </w:rPr>
        <w:t xml:space="preserve"> EF.GDO </w:t>
      </w:r>
      <w:r w:rsidR="001C120D" w:rsidRPr="00136250">
        <w:rPr>
          <w:lang w:val="sl-SI"/>
        </w:rPr>
        <w:t xml:space="preserve">ter EF.HPD </w:t>
      </w:r>
      <w:r w:rsidRPr="00136250">
        <w:rPr>
          <w:lang w:val="sl-SI"/>
        </w:rPr>
        <w:t>s</w:t>
      </w:r>
      <w:r w:rsidR="001C120D" w:rsidRPr="00136250">
        <w:rPr>
          <w:lang w:val="sl-SI"/>
        </w:rPr>
        <w:t>ta se</w:t>
      </w:r>
      <w:r w:rsidRPr="00136250">
        <w:rPr>
          <w:lang w:val="sl-SI"/>
        </w:rPr>
        <w:t xml:space="preserve"> na novih karticah spremenil</w:t>
      </w:r>
      <w:r w:rsidR="001C120D" w:rsidRPr="00136250">
        <w:rPr>
          <w:lang w:val="sl-SI"/>
        </w:rPr>
        <w:t>i</w:t>
      </w:r>
      <w:r w:rsidRPr="00136250">
        <w:rPr>
          <w:lang w:val="sl-SI"/>
        </w:rPr>
        <w:t xml:space="preserve"> tako</w:t>
      </w:r>
      <w:r w:rsidR="005765CA">
        <w:rPr>
          <w:lang w:val="sl-SI"/>
        </w:rPr>
        <w:t>,</w:t>
      </w:r>
      <w:r w:rsidRPr="00136250">
        <w:rPr>
          <w:lang w:val="sl-SI"/>
        </w:rPr>
        <w:t xml:space="preserve"> da podpira</w:t>
      </w:r>
      <w:r w:rsidR="001C120D" w:rsidRPr="00136250">
        <w:rPr>
          <w:lang w:val="sl-SI"/>
        </w:rPr>
        <w:t>ta</w:t>
      </w:r>
      <w:r w:rsidRPr="00136250">
        <w:rPr>
          <w:lang w:val="sl-SI"/>
        </w:rPr>
        <w:t xml:space="preserve"> dolga imena in priimke ter jih kodira</w:t>
      </w:r>
      <w:r w:rsidR="001C120D" w:rsidRPr="00136250">
        <w:rPr>
          <w:lang w:val="sl-SI"/>
        </w:rPr>
        <w:t>ta</w:t>
      </w:r>
      <w:r w:rsidRPr="00136250">
        <w:rPr>
          <w:lang w:val="sl-SI"/>
        </w:rPr>
        <w:t xml:space="preserve"> v UTF-8 zapisu. </w:t>
      </w:r>
    </w:p>
    <w:p w14:paraId="6C3B4809" w14:textId="66E3D74F" w:rsidR="00136250" w:rsidRPr="00136250" w:rsidRDefault="00136250" w:rsidP="00C60C97">
      <w:pPr>
        <w:pStyle w:val="Odstavekseznama"/>
        <w:numPr>
          <w:ilvl w:val="0"/>
          <w:numId w:val="15"/>
        </w:numPr>
        <w:jc w:val="both"/>
        <w:rPr>
          <w:lang w:val="sl-SI"/>
        </w:rPr>
      </w:pPr>
      <w:r>
        <w:rPr>
          <w:lang w:val="sl-SI"/>
        </w:rPr>
        <w:t>Datoteki sta na novih karticah dostopni šele po eksplicitnem izboru IASE aplikacije</w:t>
      </w:r>
      <w:r w:rsidRPr="00136250">
        <w:rPr>
          <w:lang w:val="sl-SI"/>
        </w:rPr>
        <w:t xml:space="preserve"> </w:t>
      </w:r>
    </w:p>
    <w:p w14:paraId="08926C08" w14:textId="7A3B1BBE" w:rsidR="0093156F" w:rsidRPr="00136250" w:rsidRDefault="00392685" w:rsidP="00C60C97">
      <w:pPr>
        <w:pStyle w:val="Odstavekseznama"/>
        <w:numPr>
          <w:ilvl w:val="0"/>
          <w:numId w:val="15"/>
        </w:numPr>
        <w:jc w:val="both"/>
        <w:rPr>
          <w:lang w:val="sl-SI"/>
        </w:rPr>
      </w:pPr>
      <w:r w:rsidRPr="00136250">
        <w:rPr>
          <w:lang w:val="sl-SI"/>
        </w:rPr>
        <w:t>Datoteka GDO se uporablja za pridobitev podatkov o uporabniku kartice, HPD pa o izvajalcu storitev, uporablja se npr. za pridobitev reference ključa za resetiranje števca dostopov do 3DES ključa na prvi generaciji KZZ oz. v kompatibilnostnemu načinu delovanja starih KZZ.</w:t>
      </w:r>
      <w:r w:rsidR="00136250" w:rsidRPr="00136250">
        <w:rPr>
          <w:lang w:val="sl-SI"/>
        </w:rPr>
        <w:t xml:space="preserve"> </w:t>
      </w:r>
    </w:p>
    <w:bookmarkEnd w:id="0"/>
    <w:p w14:paraId="55C1FA6D" w14:textId="3EF172BB" w:rsidR="0093156F" w:rsidRDefault="0093156F" w:rsidP="00C60C97">
      <w:pPr>
        <w:jc w:val="both"/>
        <w:rPr>
          <w:lang w:val="sl-SI"/>
        </w:rPr>
      </w:pPr>
      <w:r>
        <w:rPr>
          <w:lang w:val="sl-SI"/>
        </w:rPr>
        <w:t>Potrebne prilagoditve:</w:t>
      </w:r>
    </w:p>
    <w:p w14:paraId="1752ABBF" w14:textId="715C09AC" w:rsidR="001C120D" w:rsidRDefault="00136250" w:rsidP="00C60C97">
      <w:pPr>
        <w:pStyle w:val="Odstavekseznama"/>
        <w:numPr>
          <w:ilvl w:val="0"/>
          <w:numId w:val="12"/>
        </w:numPr>
        <w:jc w:val="both"/>
        <w:rPr>
          <w:lang w:val="sl-SI"/>
        </w:rPr>
      </w:pPr>
      <w:r>
        <w:rPr>
          <w:lang w:val="sl-SI"/>
        </w:rPr>
        <w:t xml:space="preserve">z ukazom SELECT FILE je potrebno </w:t>
      </w:r>
      <w:r w:rsidRPr="00136250">
        <w:rPr>
          <w:lang w:val="sl-SI"/>
        </w:rPr>
        <w:t>najprej narediti izbor IASE aplikacije šele nato izbor datotek</w:t>
      </w:r>
      <w:r>
        <w:rPr>
          <w:lang w:val="sl-SI"/>
        </w:rPr>
        <w:t xml:space="preserve"> GDO ali HPD</w:t>
      </w:r>
    </w:p>
    <w:p w14:paraId="4FCB58C2" w14:textId="24E06935" w:rsidR="0093156F" w:rsidRDefault="0093156F" w:rsidP="00C60C97">
      <w:pPr>
        <w:pStyle w:val="Odstavekseznama"/>
        <w:numPr>
          <w:ilvl w:val="0"/>
          <w:numId w:val="12"/>
        </w:numPr>
        <w:jc w:val="both"/>
        <w:rPr>
          <w:lang w:val="sl-SI"/>
        </w:rPr>
      </w:pPr>
      <w:r>
        <w:rPr>
          <w:lang w:val="sl-SI"/>
        </w:rPr>
        <w:lastRenderedPageBreak/>
        <w:t xml:space="preserve">uvesti </w:t>
      </w:r>
      <w:r w:rsidR="00136250">
        <w:rPr>
          <w:lang w:val="sl-SI"/>
        </w:rPr>
        <w:t xml:space="preserve">je treba </w:t>
      </w:r>
      <w:r>
        <w:rPr>
          <w:lang w:val="sl-SI"/>
        </w:rPr>
        <w:t xml:space="preserve">APDU veriženje (chaining) odziva kartice, da </w:t>
      </w:r>
      <w:r w:rsidR="004A6363">
        <w:rPr>
          <w:lang w:val="sl-SI"/>
        </w:rPr>
        <w:t xml:space="preserve">se </w:t>
      </w:r>
      <w:r>
        <w:rPr>
          <w:lang w:val="sl-SI"/>
        </w:rPr>
        <w:t xml:space="preserve">lahko </w:t>
      </w:r>
      <w:r w:rsidR="004A6363">
        <w:rPr>
          <w:lang w:val="sl-SI"/>
        </w:rPr>
        <w:t xml:space="preserve">prebere vsebina datoteke, ki je dolga več kot 127 bajtov. Veriženje uvedemo s pomočjo izbire datoteke EF.GDO (SELECT FILE 2F 02) </w:t>
      </w:r>
      <w:r w:rsidR="00392685">
        <w:rPr>
          <w:lang w:val="sl-SI"/>
        </w:rPr>
        <w:t xml:space="preserve">oz. EF.HPD (DD 01) </w:t>
      </w:r>
      <w:r w:rsidR="004A6363">
        <w:rPr>
          <w:lang w:val="sl-SI"/>
        </w:rPr>
        <w:t>in preberemo vsebino v več iteracijah (READ BINARY), kjer naslavljamo s parametroma P1 in P2 vsebino v datoteki</w:t>
      </w:r>
      <w:r w:rsidR="001C120D">
        <w:rPr>
          <w:lang w:val="sl-SI"/>
        </w:rPr>
        <w:t xml:space="preserve">. Več informacij na: </w:t>
      </w:r>
      <w:hyperlink r:id="rId5" w:history="1">
        <w:r w:rsidR="001C120D" w:rsidRPr="009F13FE">
          <w:rPr>
            <w:rStyle w:val="Hiperpovezava"/>
            <w:lang w:val="sl-SI"/>
          </w:rPr>
          <w:t>https://stackoverflow.com/questions/11297880/use-read-binary-to-read-more-than-256-bytes</w:t>
        </w:r>
      </w:hyperlink>
      <w:r w:rsidR="001C120D">
        <w:rPr>
          <w:lang w:val="sl-SI"/>
        </w:rPr>
        <w:t xml:space="preserve"> </w:t>
      </w:r>
    </w:p>
    <w:p w14:paraId="0DDFC9D3" w14:textId="592D1742" w:rsidR="004A6363" w:rsidRPr="00392685" w:rsidRDefault="001C120D" w:rsidP="00C60C97">
      <w:pPr>
        <w:pStyle w:val="Odstavekseznama"/>
        <w:numPr>
          <w:ilvl w:val="0"/>
          <w:numId w:val="12"/>
        </w:numPr>
        <w:jc w:val="both"/>
        <w:rPr>
          <w:lang w:val="sl-SI"/>
        </w:rPr>
      </w:pPr>
      <w:r>
        <w:rPr>
          <w:lang w:val="sl-SI"/>
        </w:rPr>
        <w:t>Branje dolžine obeh datotek je potrebno izvesti tako, da najprej preberemo dolžino (max 3 bajti) s fiksne pozicije (v specifikacijah označena kot BER TLV format) in iz njega izračunamo dolžino preostanka datoteke (torej vsebina oz. value za Card Holder Data ter Health Professional Data)</w:t>
      </w:r>
      <w:r w:rsidR="00392685">
        <w:rPr>
          <w:lang w:val="sl-SI"/>
        </w:rPr>
        <w:t xml:space="preserve">, po TLV kodiranju, več na </w:t>
      </w:r>
      <w:hyperlink r:id="rId6" w:history="1">
        <w:r w:rsidR="00392685" w:rsidRPr="009F13FE">
          <w:rPr>
            <w:rStyle w:val="Hiperpovezava"/>
            <w:lang w:val="sl-SI"/>
          </w:rPr>
          <w:t>https://stackoverflow.com/questions/60792080/how-to-parse-3-byte-length-ber-tlv-tag</w:t>
        </w:r>
      </w:hyperlink>
      <w:r w:rsidR="00392685">
        <w:rPr>
          <w:lang w:val="sl-SI"/>
        </w:rPr>
        <w:t xml:space="preserve">. Dolžino variabilnega dela </w:t>
      </w:r>
      <w:r>
        <w:rPr>
          <w:lang w:val="sl-SI"/>
        </w:rPr>
        <w:t xml:space="preserve">seštejemo </w:t>
      </w:r>
      <w:r w:rsidR="00392685">
        <w:rPr>
          <w:lang w:val="sl-SI"/>
        </w:rPr>
        <w:t>z dolžino</w:t>
      </w:r>
      <w:r>
        <w:rPr>
          <w:lang w:val="sl-SI"/>
        </w:rPr>
        <w:t xml:space="preserve"> fiksn</w:t>
      </w:r>
      <w:r w:rsidR="00392685">
        <w:rPr>
          <w:lang w:val="sl-SI"/>
        </w:rPr>
        <w:t>ega</w:t>
      </w:r>
      <w:r>
        <w:rPr>
          <w:lang w:val="sl-SI"/>
        </w:rPr>
        <w:t xml:space="preserve"> del</w:t>
      </w:r>
      <w:r w:rsidR="00392685">
        <w:rPr>
          <w:lang w:val="sl-SI"/>
        </w:rPr>
        <w:t>a</w:t>
      </w:r>
      <w:r>
        <w:rPr>
          <w:lang w:val="sl-SI"/>
        </w:rPr>
        <w:t xml:space="preserve"> in šele nato lahko z dobljeno pričakovano dolžino (Le) preberemo celotno datoteko</w:t>
      </w:r>
    </w:p>
    <w:p w14:paraId="685C0275" w14:textId="77777777" w:rsidR="001C120D" w:rsidRDefault="001C120D" w:rsidP="00C60C97">
      <w:pPr>
        <w:jc w:val="both"/>
        <w:rPr>
          <w:lang w:val="sl-SI"/>
        </w:rPr>
      </w:pPr>
    </w:p>
    <w:p w14:paraId="5818B795" w14:textId="50007A45" w:rsidR="001C120D" w:rsidRDefault="001C120D" w:rsidP="00C60C97">
      <w:pPr>
        <w:jc w:val="both"/>
        <w:rPr>
          <w:lang w:val="sl-SI"/>
        </w:rPr>
      </w:pPr>
      <w:r>
        <w:rPr>
          <w:lang w:val="sl-SI"/>
        </w:rPr>
        <w:t>Nova specifikacija obeh datotek:</w:t>
      </w:r>
    </w:p>
    <w:p w14:paraId="38702630" w14:textId="2CD73BAA" w:rsidR="004A6363" w:rsidRDefault="001C120D" w:rsidP="00C60C97">
      <w:pPr>
        <w:jc w:val="both"/>
        <w:rPr>
          <w:lang w:val="sl-SI"/>
        </w:rPr>
      </w:pPr>
      <w:r w:rsidRPr="001C120D">
        <w:rPr>
          <w:noProof/>
          <w:lang w:val="sl-SI"/>
        </w:rPr>
        <w:drawing>
          <wp:inline distT="0" distB="0" distL="0" distR="0" wp14:anchorId="73C33D88" wp14:editId="64FE039B">
            <wp:extent cx="594360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60420"/>
                    </a:xfrm>
                    <a:prstGeom prst="rect">
                      <a:avLst/>
                    </a:prstGeom>
                  </pic:spPr>
                </pic:pic>
              </a:graphicData>
            </a:graphic>
          </wp:inline>
        </w:drawing>
      </w:r>
    </w:p>
    <w:p w14:paraId="3A9D993B" w14:textId="4FA1B0FC" w:rsidR="00A9192F" w:rsidRDefault="001C120D" w:rsidP="00C60C97">
      <w:pPr>
        <w:jc w:val="both"/>
        <w:rPr>
          <w:lang w:val="sl-SI"/>
        </w:rPr>
      </w:pPr>
      <w:r w:rsidRPr="001C120D">
        <w:rPr>
          <w:noProof/>
          <w:lang w:val="sl-SI"/>
        </w:rPr>
        <w:lastRenderedPageBreak/>
        <w:drawing>
          <wp:inline distT="0" distB="0" distL="0" distR="0" wp14:anchorId="77101A38" wp14:editId="06BE88D9">
            <wp:extent cx="5943600" cy="3903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3345"/>
                    </a:xfrm>
                    <a:prstGeom prst="rect">
                      <a:avLst/>
                    </a:prstGeom>
                  </pic:spPr>
                </pic:pic>
              </a:graphicData>
            </a:graphic>
          </wp:inline>
        </w:drawing>
      </w:r>
    </w:p>
    <w:p w14:paraId="090F9CAD" w14:textId="77777777" w:rsidR="00972749" w:rsidRDefault="00972749" w:rsidP="00C60C97">
      <w:pPr>
        <w:jc w:val="both"/>
        <w:rPr>
          <w:lang w:val="sl-SI"/>
        </w:rPr>
      </w:pPr>
    </w:p>
    <w:p w14:paraId="7F342475" w14:textId="08F1AD9A" w:rsidR="0093156F" w:rsidRDefault="00A9192F" w:rsidP="00C60C97">
      <w:pPr>
        <w:pStyle w:val="Naslov1"/>
        <w:jc w:val="both"/>
        <w:rPr>
          <w:lang w:val="sl-SI"/>
        </w:rPr>
      </w:pPr>
      <w:bookmarkStart w:id="1" w:name="_Hlk69968409"/>
      <w:r>
        <w:rPr>
          <w:lang w:val="sl-SI"/>
        </w:rPr>
        <w:t>APDU: Izbira IASE aplikacije</w:t>
      </w:r>
    </w:p>
    <w:p w14:paraId="3A91C345" w14:textId="2EEA31FE" w:rsidR="00A9192F" w:rsidRDefault="001C120D" w:rsidP="00C60C97">
      <w:pPr>
        <w:jc w:val="both"/>
        <w:rPr>
          <w:lang w:val="sl-SI"/>
        </w:rPr>
      </w:pPr>
      <w:r>
        <w:rPr>
          <w:lang w:val="sl-SI"/>
        </w:rPr>
        <w:t xml:space="preserve">Ozadje: </w:t>
      </w:r>
      <w:r w:rsidR="00A9192F">
        <w:rPr>
          <w:lang w:val="sl-SI"/>
        </w:rPr>
        <w:t>IASE ID aplikacije (AID) se je spremenil.</w:t>
      </w:r>
    </w:p>
    <w:bookmarkEnd w:id="1"/>
    <w:p w14:paraId="6D5983D4" w14:textId="77777777" w:rsidR="00A9192F" w:rsidRDefault="00A9192F" w:rsidP="00C60C97">
      <w:pPr>
        <w:spacing w:after="100" w:line="240" w:lineRule="auto"/>
        <w:jc w:val="both"/>
        <w:rPr>
          <w:lang w:val="sl-SI"/>
        </w:rPr>
      </w:pPr>
      <w:r>
        <w:rPr>
          <w:lang w:val="sl-SI"/>
        </w:rPr>
        <w:t xml:space="preserve">Potrebne prilagoditve: </w:t>
      </w:r>
    </w:p>
    <w:p w14:paraId="39D59F00" w14:textId="1713CAD8" w:rsidR="001C120D" w:rsidRPr="00A9192F" w:rsidRDefault="00A9192F" w:rsidP="00C60C97">
      <w:pPr>
        <w:pStyle w:val="Odstavekseznama"/>
        <w:numPr>
          <w:ilvl w:val="0"/>
          <w:numId w:val="14"/>
        </w:numPr>
        <w:spacing w:after="100" w:line="240" w:lineRule="auto"/>
        <w:jc w:val="both"/>
      </w:pPr>
      <w:r w:rsidRPr="00A9192F">
        <w:rPr>
          <w:lang w:val="sl-SI"/>
        </w:rPr>
        <w:t xml:space="preserve">Za nove kartice je potrebno izbrati (SELECT FILE) novi AID – </w:t>
      </w:r>
      <w:r w:rsidRPr="00A9192F">
        <w:rPr>
          <w:rFonts w:ascii="Courier New" w:hAnsi="Courier New" w:cs="Courier New"/>
        </w:rPr>
        <w:t>A0 00 00 00 18 40 00 00 01 63 42 00</w:t>
      </w:r>
    </w:p>
    <w:p w14:paraId="664A16EF" w14:textId="164FB793" w:rsidR="00A9192F" w:rsidRDefault="00A9192F" w:rsidP="00C60C97">
      <w:pPr>
        <w:jc w:val="both"/>
        <w:rPr>
          <w:lang w:val="sl-SI"/>
        </w:rPr>
      </w:pPr>
    </w:p>
    <w:p w14:paraId="0B424C83" w14:textId="257886D6" w:rsidR="00A9192F" w:rsidRDefault="00A9192F" w:rsidP="00C60C97">
      <w:pPr>
        <w:pStyle w:val="Naslov1"/>
        <w:jc w:val="both"/>
        <w:rPr>
          <w:lang w:val="sl-SI"/>
        </w:rPr>
      </w:pPr>
      <w:bookmarkStart w:id="2" w:name="_Hlk69968422"/>
      <w:r>
        <w:rPr>
          <w:lang w:val="sl-SI"/>
        </w:rPr>
        <w:t>Branje ATR odziva kartic</w:t>
      </w:r>
    </w:p>
    <w:p w14:paraId="1BD97C70" w14:textId="7F155514" w:rsidR="00A9192F" w:rsidRDefault="00A9192F" w:rsidP="00C60C97">
      <w:pPr>
        <w:jc w:val="both"/>
        <w:rPr>
          <w:lang w:val="sl-SI"/>
        </w:rPr>
      </w:pPr>
      <w:r>
        <w:rPr>
          <w:lang w:val="sl-SI"/>
        </w:rPr>
        <w:t>Ozadje: vsaka vrsta kartice se sistemu identificira z edinstvenim ATR (Answer-To-Reset), novi PK in KZZ imata vsaka svoj nov ATR odziv, ki je drugačen od odzivov kartic prejšnjih generacij. Če uporablja rešitev odločanje glede na ATR odziv, je takšno logiko potrebno prilagoditi.</w:t>
      </w:r>
    </w:p>
    <w:bookmarkEnd w:id="2"/>
    <w:p w14:paraId="0E53FB91" w14:textId="77777777" w:rsidR="00A9192F" w:rsidRDefault="00A9192F" w:rsidP="00C60C97">
      <w:pPr>
        <w:jc w:val="both"/>
        <w:rPr>
          <w:lang w:val="sl-SI"/>
        </w:rPr>
      </w:pPr>
      <w:r>
        <w:rPr>
          <w:lang w:val="sl-SI"/>
        </w:rPr>
        <w:t xml:space="preserve">Potrebne prilagoditve: </w:t>
      </w:r>
    </w:p>
    <w:p w14:paraId="706DE27D" w14:textId="3BCFD126" w:rsidR="00A9192F" w:rsidRDefault="00A9192F" w:rsidP="00C60C97">
      <w:pPr>
        <w:pStyle w:val="Odstavekseznama"/>
        <w:numPr>
          <w:ilvl w:val="0"/>
          <w:numId w:val="14"/>
        </w:numPr>
        <w:jc w:val="both"/>
        <w:rPr>
          <w:lang w:val="sl-SI"/>
        </w:rPr>
      </w:pPr>
      <w:r w:rsidRPr="00A9192F">
        <w:rPr>
          <w:lang w:val="sl-SI"/>
        </w:rPr>
        <w:t>Rešit</w:t>
      </w:r>
      <w:r>
        <w:rPr>
          <w:lang w:val="sl-SI"/>
        </w:rPr>
        <w:t>e</w:t>
      </w:r>
      <w:r w:rsidRPr="00A9192F">
        <w:rPr>
          <w:lang w:val="sl-SI"/>
        </w:rPr>
        <w:t>v</w:t>
      </w:r>
      <w:r>
        <w:rPr>
          <w:lang w:val="sl-SI"/>
        </w:rPr>
        <w:t xml:space="preserve"> naj predvidi ATR za nove kartice in sicer:</w:t>
      </w:r>
    </w:p>
    <w:p w14:paraId="2E976863" w14:textId="161F50AD" w:rsidR="00A9192F" w:rsidRPr="00A9192F" w:rsidRDefault="00A9192F" w:rsidP="00C60C97">
      <w:pPr>
        <w:pStyle w:val="Odstavekseznama"/>
        <w:numPr>
          <w:ilvl w:val="1"/>
          <w:numId w:val="14"/>
        </w:numPr>
        <w:jc w:val="both"/>
        <w:rPr>
          <w:rFonts w:ascii="Courier New" w:hAnsi="Courier New" w:cs="Courier New"/>
        </w:rPr>
      </w:pPr>
      <w:r>
        <w:rPr>
          <w:lang w:val="sl-SI"/>
        </w:rPr>
        <w:t xml:space="preserve">KZZ: </w:t>
      </w:r>
      <w:r w:rsidRPr="00A9192F">
        <w:rPr>
          <w:rFonts w:ascii="Courier New" w:hAnsi="Courier New" w:cs="Courier New"/>
        </w:rPr>
        <w:t>3B 7F 96 00 00 80 31 80 65 B0 85 04 01 20 F2 00 01 82 90 00</w:t>
      </w:r>
    </w:p>
    <w:p w14:paraId="6671269C" w14:textId="70811E8C" w:rsidR="00A9192F" w:rsidRPr="00A9192F" w:rsidRDefault="00A9192F" w:rsidP="00C60C97">
      <w:pPr>
        <w:pStyle w:val="Odstavekseznama"/>
        <w:numPr>
          <w:ilvl w:val="1"/>
          <w:numId w:val="14"/>
        </w:numPr>
        <w:jc w:val="both"/>
        <w:rPr>
          <w:lang w:val="sl-SI"/>
        </w:rPr>
      </w:pPr>
      <w:r>
        <w:rPr>
          <w:lang w:val="sl-SI"/>
        </w:rPr>
        <w:t xml:space="preserve">PK: </w:t>
      </w:r>
      <w:r w:rsidRPr="00A9192F">
        <w:rPr>
          <w:rFonts w:ascii="Courier New" w:hAnsi="Courier New" w:cs="Courier New"/>
        </w:rPr>
        <w:t>3B 7F 96 00 00 80 31 80 65 B0 85 04 01 20 F2 00 02 82 90 00</w:t>
      </w:r>
    </w:p>
    <w:p w14:paraId="6A42583F" w14:textId="500588EA" w:rsidR="002F3302" w:rsidRDefault="002F3302" w:rsidP="00C60C97">
      <w:pPr>
        <w:pStyle w:val="Naslov1"/>
        <w:jc w:val="both"/>
        <w:rPr>
          <w:lang w:val="sl-SI"/>
        </w:rPr>
      </w:pPr>
      <w:bookmarkStart w:id="3" w:name="_Hlk69968447"/>
      <w:r>
        <w:rPr>
          <w:lang w:val="sl-SI"/>
        </w:rPr>
        <w:lastRenderedPageBreak/>
        <w:t>Odstranitev kompatibilnostnega načina iz novih KZZ</w:t>
      </w:r>
    </w:p>
    <w:p w14:paraId="7F625803" w14:textId="0D3CF83B" w:rsidR="002F3302" w:rsidRDefault="002F3302" w:rsidP="00C60C97">
      <w:pPr>
        <w:jc w:val="both"/>
        <w:rPr>
          <w:lang w:val="sl-SI"/>
        </w:rPr>
      </w:pPr>
      <w:r>
        <w:rPr>
          <w:lang w:val="sl-SI"/>
        </w:rPr>
        <w:t>Ozadje: nove KZZ ne uporabljajo več kompatibilnostnega načina, v katerem simulirajo delovanje prve generacije KZZ, ki še niso imele digitalnih potrdil. Kompatibilnostni applet ZZZS je bil z novih KZZ fizično odstranjen in ga ni mogoče več izbrati (SELECT FILE). Na novih PK je kompatibilnostni applet še vedno prisoten, saj morajo podpirati tudi KZZ starejših generacij.</w:t>
      </w:r>
    </w:p>
    <w:bookmarkEnd w:id="3"/>
    <w:p w14:paraId="79AC82EA" w14:textId="0DFF427A" w:rsidR="002F3302" w:rsidRDefault="002F3302" w:rsidP="00C60C97">
      <w:pPr>
        <w:jc w:val="both"/>
        <w:rPr>
          <w:lang w:val="sl-SI"/>
        </w:rPr>
      </w:pPr>
      <w:r>
        <w:rPr>
          <w:lang w:val="sl-SI"/>
        </w:rPr>
        <w:t>Potrebne prilagoditve:</w:t>
      </w:r>
    </w:p>
    <w:p w14:paraId="14A5E970" w14:textId="5B5BA7C1" w:rsidR="002F3302" w:rsidRDefault="002F3302" w:rsidP="00C60C97">
      <w:pPr>
        <w:pStyle w:val="Odstavekseznama"/>
        <w:numPr>
          <w:ilvl w:val="0"/>
          <w:numId w:val="14"/>
        </w:numPr>
        <w:jc w:val="both"/>
        <w:rPr>
          <w:lang w:val="sl-SI"/>
        </w:rPr>
      </w:pPr>
      <w:r>
        <w:rPr>
          <w:lang w:val="sl-SI"/>
        </w:rPr>
        <w:t>Če aktiviramo v rešitvi kompatibilnostni applet je potrebno predvideti, da ta več ne obstaja, in da bo poskus izbire (SELECT FILE) vrnil odziv z napako.</w:t>
      </w:r>
    </w:p>
    <w:p w14:paraId="663F8974" w14:textId="6FB1C49F" w:rsidR="002F3302" w:rsidRDefault="002F3302" w:rsidP="00C60C97">
      <w:pPr>
        <w:pStyle w:val="Odstavekseznama"/>
        <w:numPr>
          <w:ilvl w:val="0"/>
          <w:numId w:val="14"/>
        </w:numPr>
        <w:jc w:val="both"/>
        <w:rPr>
          <w:lang w:val="sl-SI"/>
        </w:rPr>
      </w:pPr>
      <w:r>
        <w:rPr>
          <w:lang w:val="sl-SI"/>
        </w:rPr>
        <w:t>Potrebno je poskrbeti za vse kombinacije kartic</w:t>
      </w:r>
      <w:r w:rsidR="0087098D">
        <w:rPr>
          <w:lang w:val="sl-SI"/>
        </w:rPr>
        <w:t>, z novo KZZ kompatibilnostni način ne deluje, z vsemi ostalimi kombinacijami pa.</w:t>
      </w:r>
    </w:p>
    <w:p w14:paraId="30522353" w14:textId="369416FA" w:rsidR="002F3302" w:rsidRDefault="002F3302" w:rsidP="00C60C97">
      <w:pPr>
        <w:pStyle w:val="Naslov1"/>
        <w:jc w:val="both"/>
        <w:rPr>
          <w:lang w:val="sl-SI"/>
        </w:rPr>
      </w:pPr>
      <w:bookmarkStart w:id="4" w:name="_Hlk69968470"/>
      <w:r>
        <w:rPr>
          <w:lang w:val="sl-SI"/>
        </w:rPr>
        <w:t>PKCS#11: Uporaba varnega vnosa PIN preko zunanje tipkovnice (PinPada)</w:t>
      </w:r>
    </w:p>
    <w:p w14:paraId="3EF9669C" w14:textId="7B459E13" w:rsidR="00A9192F" w:rsidRDefault="002F3302" w:rsidP="00C60C97">
      <w:pPr>
        <w:jc w:val="both"/>
        <w:rPr>
          <w:lang w:val="sl-SI"/>
        </w:rPr>
      </w:pPr>
      <w:r>
        <w:rPr>
          <w:lang w:val="sl-SI"/>
        </w:rPr>
        <w:t>Ozadje: novo medprogramje ne dopušča več vnosa -1 kot dolžine PIN-a, da sproži varni vnos preko hardverske naprave (PinPad čitalca, če ta obstaja), potrebno je uporabiti dolžino 0.</w:t>
      </w:r>
    </w:p>
    <w:bookmarkEnd w:id="4"/>
    <w:p w14:paraId="38CE4866" w14:textId="6D4A9906" w:rsidR="002F3302" w:rsidRDefault="002F3302" w:rsidP="00C60C97">
      <w:pPr>
        <w:jc w:val="both"/>
        <w:rPr>
          <w:lang w:val="sl-SI"/>
        </w:rPr>
      </w:pPr>
      <w:r>
        <w:rPr>
          <w:lang w:val="sl-SI"/>
        </w:rPr>
        <w:t>Potrebne prilagoditve:</w:t>
      </w:r>
    </w:p>
    <w:p w14:paraId="4079CFE1" w14:textId="55F68A69" w:rsidR="002F3302" w:rsidRPr="008827FA" w:rsidRDefault="002F3302" w:rsidP="00C60C97">
      <w:pPr>
        <w:pStyle w:val="Odstavekseznama"/>
        <w:numPr>
          <w:ilvl w:val="0"/>
          <w:numId w:val="14"/>
        </w:numPr>
        <w:jc w:val="both"/>
        <w:rPr>
          <w:lang w:val="sl-SI"/>
        </w:rPr>
      </w:pPr>
      <w:r>
        <w:rPr>
          <w:lang w:val="sl-SI"/>
        </w:rPr>
        <w:t>V klicu funkcije C_Login je potrebno podati kot parameter ulPinLen vrednost 0 in ne -1, kot je bilo možno pri prejšnji različici medprogramja.</w:t>
      </w:r>
    </w:p>
    <w:p w14:paraId="7E35D462" w14:textId="1FDC1874" w:rsidR="00136250" w:rsidRDefault="00136250" w:rsidP="00C60C97">
      <w:pPr>
        <w:pStyle w:val="Naslov1"/>
        <w:jc w:val="both"/>
        <w:rPr>
          <w:lang w:val="sl-SI"/>
        </w:rPr>
      </w:pPr>
      <w:bookmarkStart w:id="5" w:name="_Hlk69968494"/>
      <w:r>
        <w:rPr>
          <w:lang w:val="sl-SI"/>
        </w:rPr>
        <w:t xml:space="preserve">Sprememba referenčne številke podpisnega PIN-a </w:t>
      </w:r>
    </w:p>
    <w:p w14:paraId="59A2D9C1" w14:textId="2166647F" w:rsidR="00136250" w:rsidRDefault="00162F82" w:rsidP="00C60C97">
      <w:pPr>
        <w:jc w:val="both"/>
        <w:rPr>
          <w:lang w:val="sl-SI"/>
        </w:rPr>
      </w:pPr>
      <w:r>
        <w:rPr>
          <w:lang w:val="sl-SI"/>
        </w:rPr>
        <w:t xml:space="preserve">Ozadje: nove PK imajo </w:t>
      </w:r>
      <w:r w:rsidR="008827FA">
        <w:rPr>
          <w:lang w:val="sl-SI"/>
        </w:rPr>
        <w:t xml:space="preserve">referenčno številko podpisnega PIN-a za kvalificirano potrdilo zamaknjeno na številko HEX 82 v primerjavi s številke HEX </w:t>
      </w:r>
      <w:r w:rsidR="00136250">
        <w:rPr>
          <w:lang w:val="sl-SI"/>
        </w:rPr>
        <w:t>83 na starih PK</w:t>
      </w:r>
      <w:r w:rsidR="008827FA">
        <w:rPr>
          <w:lang w:val="sl-SI"/>
        </w:rPr>
        <w:t>.</w:t>
      </w:r>
      <w:r w:rsidR="00260392">
        <w:rPr>
          <w:lang w:val="sl-SI"/>
        </w:rPr>
        <w:t xml:space="preserve"> </w:t>
      </w:r>
      <w:bookmarkEnd w:id="5"/>
      <w:r w:rsidR="00260392">
        <w:rPr>
          <w:lang w:val="sl-SI"/>
        </w:rPr>
        <w:t>Pregled PINov na starih in novih PK je v naslednji tabeli:</w:t>
      </w:r>
    </w:p>
    <w:tbl>
      <w:tblPr>
        <w:tblStyle w:val="Tabelamrea"/>
        <w:tblW w:w="0" w:type="auto"/>
        <w:tblLook w:val="04A0" w:firstRow="1" w:lastRow="0" w:firstColumn="1" w:lastColumn="0" w:noHBand="0" w:noVBand="1"/>
      </w:tblPr>
      <w:tblGrid>
        <w:gridCol w:w="3116"/>
        <w:gridCol w:w="1395"/>
        <w:gridCol w:w="1722"/>
        <w:gridCol w:w="1575"/>
        <w:gridCol w:w="1542"/>
      </w:tblGrid>
      <w:tr w:rsidR="00260392" w14:paraId="6F19E839" w14:textId="5D58D74B" w:rsidTr="00260392">
        <w:tc>
          <w:tcPr>
            <w:tcW w:w="3116" w:type="dxa"/>
          </w:tcPr>
          <w:p w14:paraId="6C7D5E96" w14:textId="77777777" w:rsidR="00260392" w:rsidRDefault="00260392" w:rsidP="00C60C97">
            <w:pPr>
              <w:jc w:val="both"/>
              <w:rPr>
                <w:lang w:val="sl-SI"/>
              </w:rPr>
            </w:pPr>
          </w:p>
        </w:tc>
        <w:tc>
          <w:tcPr>
            <w:tcW w:w="1395" w:type="dxa"/>
          </w:tcPr>
          <w:p w14:paraId="20A295D5" w14:textId="75887375" w:rsidR="00260392" w:rsidRDefault="00260392" w:rsidP="00C60C97">
            <w:pPr>
              <w:jc w:val="both"/>
              <w:rPr>
                <w:lang w:val="sl-SI"/>
              </w:rPr>
            </w:pPr>
            <w:r>
              <w:rPr>
                <w:lang w:val="sl-SI"/>
              </w:rPr>
              <w:t>Stara PK</w:t>
            </w:r>
          </w:p>
        </w:tc>
        <w:tc>
          <w:tcPr>
            <w:tcW w:w="1722" w:type="dxa"/>
          </w:tcPr>
          <w:p w14:paraId="6360C6AC" w14:textId="37355931" w:rsidR="00260392" w:rsidRDefault="00260392" w:rsidP="00C60C97">
            <w:pPr>
              <w:jc w:val="both"/>
              <w:rPr>
                <w:lang w:val="sl-SI"/>
              </w:rPr>
            </w:pPr>
            <w:r>
              <w:rPr>
                <w:lang w:val="sl-SI"/>
              </w:rPr>
              <w:t>Stara PK brez KDP</w:t>
            </w:r>
          </w:p>
        </w:tc>
        <w:tc>
          <w:tcPr>
            <w:tcW w:w="1575" w:type="dxa"/>
          </w:tcPr>
          <w:p w14:paraId="185AD13E" w14:textId="0498577B" w:rsidR="00260392" w:rsidRDefault="00260392" w:rsidP="00C60C97">
            <w:pPr>
              <w:jc w:val="both"/>
              <w:rPr>
                <w:lang w:val="sl-SI"/>
              </w:rPr>
            </w:pPr>
            <w:r>
              <w:rPr>
                <w:lang w:val="sl-SI"/>
              </w:rPr>
              <w:t>Nova PK</w:t>
            </w:r>
          </w:p>
        </w:tc>
        <w:tc>
          <w:tcPr>
            <w:tcW w:w="1542" w:type="dxa"/>
          </w:tcPr>
          <w:p w14:paraId="3448462B" w14:textId="4B5C7AA7" w:rsidR="00260392" w:rsidRDefault="00260392" w:rsidP="00C60C97">
            <w:pPr>
              <w:jc w:val="both"/>
              <w:rPr>
                <w:lang w:val="sl-SI"/>
              </w:rPr>
            </w:pPr>
            <w:r>
              <w:rPr>
                <w:lang w:val="sl-SI"/>
              </w:rPr>
              <w:t>Nova PK brez KDP</w:t>
            </w:r>
          </w:p>
        </w:tc>
      </w:tr>
      <w:tr w:rsidR="00260392" w14:paraId="1EE5E3AB" w14:textId="34FC864D" w:rsidTr="00260392">
        <w:tc>
          <w:tcPr>
            <w:tcW w:w="3116" w:type="dxa"/>
          </w:tcPr>
          <w:p w14:paraId="5690154C" w14:textId="7CA27B9D" w:rsidR="00260392" w:rsidRDefault="00260392" w:rsidP="00C60C97">
            <w:pPr>
              <w:jc w:val="both"/>
              <w:rPr>
                <w:lang w:val="sl-SI"/>
              </w:rPr>
            </w:pPr>
            <w:r>
              <w:rPr>
                <w:lang w:val="sl-SI"/>
              </w:rPr>
              <w:t>Globalni PIN (Uporabniški PIN za HPC-Entry)</w:t>
            </w:r>
          </w:p>
        </w:tc>
        <w:tc>
          <w:tcPr>
            <w:tcW w:w="1395" w:type="dxa"/>
          </w:tcPr>
          <w:p w14:paraId="708DDF0C" w14:textId="48EF3D9B" w:rsidR="00260392" w:rsidRDefault="00260392" w:rsidP="00C60C97">
            <w:pPr>
              <w:jc w:val="both"/>
              <w:rPr>
                <w:lang w:val="sl-SI"/>
              </w:rPr>
            </w:pPr>
            <w:r>
              <w:rPr>
                <w:lang w:val="sl-SI"/>
              </w:rPr>
              <w:t>HEX 11</w:t>
            </w:r>
          </w:p>
        </w:tc>
        <w:tc>
          <w:tcPr>
            <w:tcW w:w="1722" w:type="dxa"/>
          </w:tcPr>
          <w:p w14:paraId="69D58EC1" w14:textId="0359FFC3" w:rsidR="00260392" w:rsidRDefault="00260392" w:rsidP="00C60C97">
            <w:pPr>
              <w:jc w:val="both"/>
              <w:rPr>
                <w:lang w:val="sl-SI"/>
              </w:rPr>
            </w:pPr>
            <w:r>
              <w:rPr>
                <w:lang w:val="sl-SI"/>
              </w:rPr>
              <w:t>HEX 11</w:t>
            </w:r>
          </w:p>
        </w:tc>
        <w:tc>
          <w:tcPr>
            <w:tcW w:w="1575" w:type="dxa"/>
          </w:tcPr>
          <w:p w14:paraId="0DB2C96C" w14:textId="4E7140F3" w:rsidR="00260392" w:rsidRDefault="00260392" w:rsidP="00C60C97">
            <w:pPr>
              <w:jc w:val="both"/>
              <w:rPr>
                <w:lang w:val="sl-SI"/>
              </w:rPr>
            </w:pPr>
            <w:r>
              <w:rPr>
                <w:lang w:val="sl-SI"/>
              </w:rPr>
              <w:t>HEX 11</w:t>
            </w:r>
          </w:p>
        </w:tc>
        <w:tc>
          <w:tcPr>
            <w:tcW w:w="1542" w:type="dxa"/>
          </w:tcPr>
          <w:p w14:paraId="56B8F5CA" w14:textId="4CF555C3" w:rsidR="00260392" w:rsidRDefault="00260392" w:rsidP="00C60C97">
            <w:pPr>
              <w:jc w:val="both"/>
              <w:rPr>
                <w:lang w:val="sl-SI"/>
              </w:rPr>
            </w:pPr>
            <w:r>
              <w:rPr>
                <w:lang w:val="sl-SI"/>
              </w:rPr>
              <w:t>HEX 11</w:t>
            </w:r>
          </w:p>
        </w:tc>
      </w:tr>
      <w:tr w:rsidR="00260392" w14:paraId="1B1172F0" w14:textId="35C0738F" w:rsidTr="00260392">
        <w:tc>
          <w:tcPr>
            <w:tcW w:w="3116" w:type="dxa"/>
          </w:tcPr>
          <w:p w14:paraId="4FEED575" w14:textId="085741B6" w:rsidR="00260392" w:rsidRDefault="00260392" w:rsidP="00C60C97">
            <w:pPr>
              <w:jc w:val="both"/>
              <w:rPr>
                <w:lang w:val="sl-SI"/>
              </w:rPr>
            </w:pPr>
            <w:r>
              <w:rPr>
                <w:lang w:val="sl-SI"/>
              </w:rPr>
              <w:t>SO PIN (PUK/Skrbniški PIN za HPC-Entry)</w:t>
            </w:r>
          </w:p>
        </w:tc>
        <w:tc>
          <w:tcPr>
            <w:tcW w:w="1395" w:type="dxa"/>
          </w:tcPr>
          <w:p w14:paraId="187FC1FF" w14:textId="45CA0BA2" w:rsidR="00260392" w:rsidRDefault="00260392" w:rsidP="00C60C97">
            <w:pPr>
              <w:jc w:val="both"/>
              <w:rPr>
                <w:lang w:val="sl-SI"/>
              </w:rPr>
            </w:pPr>
            <w:r>
              <w:rPr>
                <w:lang w:val="sl-SI"/>
              </w:rPr>
              <w:t>HEX 82</w:t>
            </w:r>
          </w:p>
        </w:tc>
        <w:tc>
          <w:tcPr>
            <w:tcW w:w="1722" w:type="dxa"/>
          </w:tcPr>
          <w:p w14:paraId="4E1DE51C" w14:textId="637644BF" w:rsidR="00260392" w:rsidRDefault="00260392" w:rsidP="00C60C97">
            <w:pPr>
              <w:jc w:val="both"/>
              <w:rPr>
                <w:lang w:val="sl-SI"/>
              </w:rPr>
            </w:pPr>
            <w:r>
              <w:rPr>
                <w:lang w:val="sl-SI"/>
              </w:rPr>
              <w:t>HEX 81</w:t>
            </w:r>
          </w:p>
        </w:tc>
        <w:tc>
          <w:tcPr>
            <w:tcW w:w="1575" w:type="dxa"/>
          </w:tcPr>
          <w:p w14:paraId="78421AF7" w14:textId="382A697E" w:rsidR="00260392" w:rsidRDefault="00260392" w:rsidP="00C60C97">
            <w:pPr>
              <w:jc w:val="both"/>
              <w:rPr>
                <w:lang w:val="sl-SI"/>
              </w:rPr>
            </w:pPr>
            <w:r>
              <w:rPr>
                <w:lang w:val="sl-SI"/>
              </w:rPr>
              <w:t>HEX 81</w:t>
            </w:r>
          </w:p>
        </w:tc>
        <w:tc>
          <w:tcPr>
            <w:tcW w:w="1542" w:type="dxa"/>
          </w:tcPr>
          <w:p w14:paraId="331E0BCB" w14:textId="7AE80249" w:rsidR="00260392" w:rsidRDefault="00260392" w:rsidP="00C60C97">
            <w:pPr>
              <w:jc w:val="both"/>
              <w:rPr>
                <w:lang w:val="sl-SI"/>
              </w:rPr>
            </w:pPr>
            <w:r>
              <w:rPr>
                <w:lang w:val="sl-SI"/>
              </w:rPr>
              <w:t>HEX 81</w:t>
            </w:r>
          </w:p>
        </w:tc>
      </w:tr>
      <w:tr w:rsidR="00260392" w14:paraId="5F0062D3" w14:textId="4A5D89D4" w:rsidTr="00260392">
        <w:tc>
          <w:tcPr>
            <w:tcW w:w="3116" w:type="dxa"/>
          </w:tcPr>
          <w:p w14:paraId="2A9ED5A2" w14:textId="26185D11" w:rsidR="00260392" w:rsidRDefault="00260392" w:rsidP="00C60C97">
            <w:pPr>
              <w:jc w:val="both"/>
              <w:rPr>
                <w:lang w:val="sl-SI"/>
              </w:rPr>
            </w:pPr>
            <w:r>
              <w:rPr>
                <w:lang w:val="sl-SI"/>
              </w:rPr>
              <w:t>BioPIN (prstni odtis za HPC-Entry)</w:t>
            </w:r>
            <w:r w:rsidR="00972749">
              <w:rPr>
                <w:lang w:val="sl-SI"/>
              </w:rPr>
              <w:t xml:space="preserve"> </w:t>
            </w:r>
          </w:p>
        </w:tc>
        <w:tc>
          <w:tcPr>
            <w:tcW w:w="1395" w:type="dxa"/>
          </w:tcPr>
          <w:p w14:paraId="2A76776D" w14:textId="4EBFE920" w:rsidR="00260392" w:rsidRDefault="00260392" w:rsidP="00C60C97">
            <w:pPr>
              <w:jc w:val="both"/>
              <w:rPr>
                <w:lang w:val="sl-SI"/>
              </w:rPr>
            </w:pPr>
            <w:r>
              <w:rPr>
                <w:lang w:val="sl-SI"/>
              </w:rPr>
              <w:t xml:space="preserve">Brez </w:t>
            </w:r>
          </w:p>
        </w:tc>
        <w:tc>
          <w:tcPr>
            <w:tcW w:w="1722" w:type="dxa"/>
          </w:tcPr>
          <w:p w14:paraId="3CF7E10C" w14:textId="06D1ED64" w:rsidR="00260392" w:rsidRDefault="00260392" w:rsidP="00C60C97">
            <w:pPr>
              <w:jc w:val="both"/>
              <w:rPr>
                <w:lang w:val="sl-SI"/>
              </w:rPr>
            </w:pPr>
            <w:r>
              <w:rPr>
                <w:lang w:val="sl-SI"/>
              </w:rPr>
              <w:t>Brez</w:t>
            </w:r>
          </w:p>
        </w:tc>
        <w:tc>
          <w:tcPr>
            <w:tcW w:w="1575" w:type="dxa"/>
          </w:tcPr>
          <w:p w14:paraId="1DD066B1" w14:textId="0DEC4AA2" w:rsidR="00260392" w:rsidRDefault="00260392" w:rsidP="00C60C97">
            <w:pPr>
              <w:jc w:val="both"/>
              <w:rPr>
                <w:lang w:val="sl-SI"/>
              </w:rPr>
            </w:pPr>
            <w:r>
              <w:rPr>
                <w:lang w:val="sl-SI"/>
              </w:rPr>
              <w:t>HEX 21</w:t>
            </w:r>
          </w:p>
        </w:tc>
        <w:tc>
          <w:tcPr>
            <w:tcW w:w="1542" w:type="dxa"/>
          </w:tcPr>
          <w:p w14:paraId="017D73AB" w14:textId="31ACB2AA" w:rsidR="00260392" w:rsidRDefault="00260392" w:rsidP="00C60C97">
            <w:pPr>
              <w:jc w:val="both"/>
              <w:rPr>
                <w:lang w:val="sl-SI"/>
              </w:rPr>
            </w:pPr>
            <w:r>
              <w:rPr>
                <w:lang w:val="sl-SI"/>
              </w:rPr>
              <w:t>HEX 21</w:t>
            </w:r>
          </w:p>
        </w:tc>
      </w:tr>
      <w:tr w:rsidR="00260392" w14:paraId="57936943" w14:textId="61FEA948" w:rsidTr="00260392">
        <w:tc>
          <w:tcPr>
            <w:tcW w:w="3116" w:type="dxa"/>
          </w:tcPr>
          <w:p w14:paraId="077328BF" w14:textId="6C217BF0" w:rsidR="00260392" w:rsidRDefault="00260392" w:rsidP="00C60C97">
            <w:pPr>
              <w:jc w:val="both"/>
              <w:rPr>
                <w:lang w:val="sl-SI"/>
              </w:rPr>
            </w:pPr>
            <w:r>
              <w:rPr>
                <w:lang w:val="sl-SI"/>
              </w:rPr>
              <w:t>Podpisni PIN (Uporabniški PIN za HPC-Qualified)</w:t>
            </w:r>
          </w:p>
        </w:tc>
        <w:tc>
          <w:tcPr>
            <w:tcW w:w="1395" w:type="dxa"/>
          </w:tcPr>
          <w:p w14:paraId="67EEECC5" w14:textId="5E6EBF0B" w:rsidR="00260392" w:rsidRDefault="00260392" w:rsidP="00C60C97">
            <w:pPr>
              <w:jc w:val="both"/>
              <w:rPr>
                <w:lang w:val="sl-SI"/>
              </w:rPr>
            </w:pPr>
            <w:r>
              <w:rPr>
                <w:lang w:val="sl-SI"/>
              </w:rPr>
              <w:t>HEX 83</w:t>
            </w:r>
          </w:p>
        </w:tc>
        <w:tc>
          <w:tcPr>
            <w:tcW w:w="1722" w:type="dxa"/>
          </w:tcPr>
          <w:p w14:paraId="34CB162E" w14:textId="193F9B46" w:rsidR="00260392" w:rsidRDefault="00260392" w:rsidP="00C60C97">
            <w:pPr>
              <w:jc w:val="both"/>
              <w:rPr>
                <w:lang w:val="sl-SI"/>
              </w:rPr>
            </w:pPr>
            <w:r>
              <w:rPr>
                <w:lang w:val="sl-SI"/>
              </w:rPr>
              <w:t>Brez</w:t>
            </w:r>
          </w:p>
        </w:tc>
        <w:tc>
          <w:tcPr>
            <w:tcW w:w="1575" w:type="dxa"/>
          </w:tcPr>
          <w:p w14:paraId="53FE230C" w14:textId="3AE315E0" w:rsidR="00260392" w:rsidRDefault="00260392" w:rsidP="00C60C97">
            <w:pPr>
              <w:jc w:val="both"/>
              <w:rPr>
                <w:lang w:val="sl-SI"/>
              </w:rPr>
            </w:pPr>
            <w:r>
              <w:rPr>
                <w:lang w:val="sl-SI"/>
              </w:rPr>
              <w:t>HEX 82</w:t>
            </w:r>
          </w:p>
        </w:tc>
        <w:tc>
          <w:tcPr>
            <w:tcW w:w="1542" w:type="dxa"/>
          </w:tcPr>
          <w:p w14:paraId="01B10840" w14:textId="1566751D" w:rsidR="00260392" w:rsidRDefault="00260392" w:rsidP="00C60C97">
            <w:pPr>
              <w:jc w:val="both"/>
              <w:rPr>
                <w:lang w:val="sl-SI"/>
              </w:rPr>
            </w:pPr>
            <w:r>
              <w:rPr>
                <w:lang w:val="sl-SI"/>
              </w:rPr>
              <w:t>Brez</w:t>
            </w:r>
          </w:p>
        </w:tc>
      </w:tr>
      <w:tr w:rsidR="00260392" w14:paraId="1D2A5CBF" w14:textId="37A0EC73" w:rsidTr="00260392">
        <w:tc>
          <w:tcPr>
            <w:tcW w:w="3116" w:type="dxa"/>
          </w:tcPr>
          <w:p w14:paraId="4D3A0A61" w14:textId="68DAC25B" w:rsidR="00260392" w:rsidRDefault="00260392" w:rsidP="00C60C97">
            <w:pPr>
              <w:jc w:val="both"/>
              <w:rPr>
                <w:lang w:val="sl-SI"/>
              </w:rPr>
            </w:pPr>
            <w:r>
              <w:rPr>
                <w:lang w:val="sl-SI"/>
              </w:rPr>
              <w:t>Transportni PIN</w:t>
            </w:r>
          </w:p>
        </w:tc>
        <w:tc>
          <w:tcPr>
            <w:tcW w:w="1395" w:type="dxa"/>
          </w:tcPr>
          <w:p w14:paraId="46ACF950" w14:textId="69BC9A87" w:rsidR="00260392" w:rsidRDefault="00260392" w:rsidP="00C60C97">
            <w:pPr>
              <w:jc w:val="both"/>
              <w:rPr>
                <w:lang w:val="sl-SI"/>
              </w:rPr>
            </w:pPr>
            <w:r>
              <w:rPr>
                <w:lang w:val="sl-SI"/>
              </w:rPr>
              <w:t>HEX 84</w:t>
            </w:r>
          </w:p>
        </w:tc>
        <w:tc>
          <w:tcPr>
            <w:tcW w:w="1722" w:type="dxa"/>
          </w:tcPr>
          <w:p w14:paraId="72875E90" w14:textId="56FECEFA" w:rsidR="00260392" w:rsidRDefault="00260392" w:rsidP="00C60C97">
            <w:pPr>
              <w:jc w:val="both"/>
              <w:rPr>
                <w:lang w:val="sl-SI"/>
              </w:rPr>
            </w:pPr>
            <w:r>
              <w:rPr>
                <w:lang w:val="sl-SI"/>
              </w:rPr>
              <w:t>Brez</w:t>
            </w:r>
          </w:p>
        </w:tc>
        <w:tc>
          <w:tcPr>
            <w:tcW w:w="1575" w:type="dxa"/>
          </w:tcPr>
          <w:p w14:paraId="74E5563D" w14:textId="185E3E43" w:rsidR="00260392" w:rsidRDefault="00260392" w:rsidP="00C60C97">
            <w:pPr>
              <w:jc w:val="both"/>
              <w:rPr>
                <w:lang w:val="sl-SI"/>
              </w:rPr>
            </w:pPr>
            <w:r>
              <w:rPr>
                <w:lang w:val="sl-SI"/>
              </w:rPr>
              <w:t>HEX 83</w:t>
            </w:r>
          </w:p>
        </w:tc>
        <w:tc>
          <w:tcPr>
            <w:tcW w:w="1542" w:type="dxa"/>
          </w:tcPr>
          <w:p w14:paraId="339BC5DB" w14:textId="75CB057E" w:rsidR="00260392" w:rsidRDefault="00260392" w:rsidP="00C60C97">
            <w:pPr>
              <w:jc w:val="both"/>
              <w:rPr>
                <w:lang w:val="sl-SI"/>
              </w:rPr>
            </w:pPr>
            <w:r>
              <w:rPr>
                <w:lang w:val="sl-SI"/>
              </w:rPr>
              <w:t>Brez</w:t>
            </w:r>
          </w:p>
        </w:tc>
      </w:tr>
    </w:tbl>
    <w:p w14:paraId="2AD3B3F9" w14:textId="77777777" w:rsidR="008827FA" w:rsidRDefault="008827FA" w:rsidP="00C60C97">
      <w:pPr>
        <w:jc w:val="both"/>
        <w:rPr>
          <w:lang w:val="sl-SI"/>
        </w:rPr>
      </w:pPr>
    </w:p>
    <w:p w14:paraId="4DED1A85" w14:textId="6B49685A" w:rsidR="008827FA" w:rsidRDefault="008827FA" w:rsidP="00C60C97">
      <w:pPr>
        <w:jc w:val="both"/>
        <w:rPr>
          <w:lang w:val="sl-SI"/>
        </w:rPr>
      </w:pPr>
      <w:r>
        <w:rPr>
          <w:lang w:val="sl-SI"/>
        </w:rPr>
        <w:t>Potrebne prilagoditve:</w:t>
      </w:r>
    </w:p>
    <w:p w14:paraId="7A352C9E" w14:textId="4B5F654E" w:rsidR="008827FA" w:rsidRDefault="008827FA" w:rsidP="00C60C97">
      <w:pPr>
        <w:pStyle w:val="Odstavekseznama"/>
        <w:numPr>
          <w:ilvl w:val="0"/>
          <w:numId w:val="14"/>
        </w:numPr>
        <w:jc w:val="both"/>
        <w:rPr>
          <w:lang w:val="sl-SI"/>
        </w:rPr>
      </w:pPr>
      <w:r>
        <w:rPr>
          <w:lang w:val="sl-SI"/>
        </w:rPr>
        <w:t>Če rešitev uporablja delo s podpisnim PINom za PK (bodisi preko APDU, PKCS#11 ali CAPI), je potrebno reference za nove PK prestaviti iz 0x83 na 0x82.</w:t>
      </w:r>
    </w:p>
    <w:p w14:paraId="25BE4D3C" w14:textId="5EC15291" w:rsidR="00972749" w:rsidRPr="008827FA" w:rsidRDefault="00972749" w:rsidP="00C60C97">
      <w:pPr>
        <w:pStyle w:val="Odstavekseznama"/>
        <w:numPr>
          <w:ilvl w:val="0"/>
          <w:numId w:val="14"/>
        </w:numPr>
        <w:jc w:val="both"/>
        <w:rPr>
          <w:lang w:val="sl-SI"/>
        </w:rPr>
      </w:pPr>
      <w:r>
        <w:rPr>
          <w:lang w:val="sl-SI"/>
        </w:rPr>
        <w:t>Če rešitev naslavlja še katere od v tabeli navedenih spremenjenih PIN-ov je treba tudi zanje narediti ustrezno razlikovanje</w:t>
      </w:r>
    </w:p>
    <w:p w14:paraId="3C98E0D7" w14:textId="40E0A7A5" w:rsidR="00162F82" w:rsidRDefault="00162F82" w:rsidP="00C60C97">
      <w:pPr>
        <w:pStyle w:val="Naslov1"/>
        <w:jc w:val="both"/>
        <w:rPr>
          <w:lang w:val="sl-SI"/>
        </w:rPr>
      </w:pPr>
      <w:bookmarkStart w:id="6" w:name="_Hlk69968539"/>
      <w:r>
        <w:rPr>
          <w:lang w:val="sl-SI"/>
        </w:rPr>
        <w:lastRenderedPageBreak/>
        <w:t xml:space="preserve">PKCS#11/CAPI: Naslavljanje slotov/containerjev kartice </w:t>
      </w:r>
    </w:p>
    <w:p w14:paraId="058C33EB" w14:textId="007E55EF" w:rsidR="00162F82" w:rsidRDefault="00162F82" w:rsidP="00C60C97">
      <w:pPr>
        <w:jc w:val="both"/>
        <w:rPr>
          <w:lang w:val="sl-SI"/>
        </w:rPr>
      </w:pPr>
      <w:r>
        <w:rPr>
          <w:lang w:val="sl-SI"/>
        </w:rPr>
        <w:t>Ozadje: nove kartice imajo dodatne slote</w:t>
      </w:r>
      <w:r w:rsidR="00260392">
        <w:rPr>
          <w:lang w:val="sl-SI"/>
        </w:rPr>
        <w:t xml:space="preserve"> (v PKCS#11 svetu) oz. </w:t>
      </w:r>
      <w:r>
        <w:rPr>
          <w:lang w:val="sl-SI"/>
        </w:rPr>
        <w:t xml:space="preserve">containerje </w:t>
      </w:r>
      <w:r w:rsidR="00260392">
        <w:rPr>
          <w:lang w:val="sl-SI"/>
        </w:rPr>
        <w:t xml:space="preserve">(v CAPI svetu) </w:t>
      </w:r>
      <w:r>
        <w:rPr>
          <w:lang w:val="sl-SI"/>
        </w:rPr>
        <w:t>za vsa dozdajšnja nekvalificirana potrdila. Poleg »HIC-Entry«, »HPC-Entry«, »HIC-Portal« slotov imamo še dodatne slote za nekvalificirana potrdila ki omogočajo podpisovanje z algoritmi kriptografije eliptičnih krivulj, z imeni po vrsti »HIC-Entry-EC«, »HPC-Entry-EC«, »HIC-Portal-EC«. Dvojna potrdila omogočajo postopen prehod na uporabo kritpografijo z eliptičnimi krivuljami. Kvalificirano potrdilo ostaja na PK le eno, ker izdajatelj za zdaj še ne ponuja kvalificiranih potrdil s podporo za eliptične krivulje.</w:t>
      </w:r>
    </w:p>
    <w:bookmarkEnd w:id="6"/>
    <w:p w14:paraId="72BD980A" w14:textId="1B0A2C3C" w:rsidR="00162F82" w:rsidRDefault="00162F82" w:rsidP="00C60C97">
      <w:pPr>
        <w:jc w:val="both"/>
        <w:rPr>
          <w:lang w:val="sl-SI"/>
        </w:rPr>
      </w:pPr>
      <w:r>
        <w:rPr>
          <w:lang w:val="sl-SI"/>
        </w:rPr>
        <w:t>Potrebne prilagoditve:</w:t>
      </w:r>
    </w:p>
    <w:p w14:paraId="704FCA32" w14:textId="68B64B27" w:rsidR="00162F82" w:rsidRPr="00162F82" w:rsidRDefault="00162F82" w:rsidP="00C60C97">
      <w:pPr>
        <w:pStyle w:val="Odstavekseznama"/>
        <w:numPr>
          <w:ilvl w:val="0"/>
          <w:numId w:val="14"/>
        </w:numPr>
        <w:jc w:val="both"/>
        <w:rPr>
          <w:lang w:val="sl-SI"/>
        </w:rPr>
      </w:pPr>
      <w:r>
        <w:rPr>
          <w:lang w:val="sl-SI"/>
        </w:rPr>
        <w:t>Načeloma nič, iskanje containerjev</w:t>
      </w:r>
      <w:r w:rsidR="00260392">
        <w:rPr>
          <w:lang w:val="sl-SI"/>
        </w:rPr>
        <w:t>/slotov</w:t>
      </w:r>
      <w:r>
        <w:rPr>
          <w:lang w:val="sl-SI"/>
        </w:rPr>
        <w:t xml:space="preserve"> eksplicitno po imenu ali enumeriranje vseh containerjev</w:t>
      </w:r>
      <w:r w:rsidR="00260392">
        <w:rPr>
          <w:lang w:val="sl-SI"/>
        </w:rPr>
        <w:t>/slotov</w:t>
      </w:r>
      <w:r>
        <w:rPr>
          <w:lang w:val="sl-SI"/>
        </w:rPr>
        <w:t xml:space="preserve"> na kartici in sprehod po njih bi morala zagotoviti da se iskano potrdilo najde, pozornost je treba nameniti le performansam (ali je enumeracija in sprehod po potrdilih dovolj hitro, načeloma je eksplicitno nalaganje po imenu hitrejše) in pravilnosti (da se eliptična potrdila zaenkrat preskočijo, saj je v prvi fazi potrebna prilagoditev aplikacij da v njih delujejo že obstoječe funkcionalnosti tudi z novimi karticami)</w:t>
      </w:r>
    </w:p>
    <w:sectPr w:rsidR="00162F82" w:rsidRPr="00162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7E"/>
    <w:multiLevelType w:val="multilevel"/>
    <w:tmpl w:val="6C9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AEF"/>
    <w:multiLevelType w:val="hybridMultilevel"/>
    <w:tmpl w:val="680E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607"/>
    <w:multiLevelType w:val="hybridMultilevel"/>
    <w:tmpl w:val="DDB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4383"/>
    <w:multiLevelType w:val="hybridMultilevel"/>
    <w:tmpl w:val="5CC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4987"/>
    <w:multiLevelType w:val="hybridMultilevel"/>
    <w:tmpl w:val="C9F8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C55C9"/>
    <w:multiLevelType w:val="hybridMultilevel"/>
    <w:tmpl w:val="B32AF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C55F5"/>
    <w:multiLevelType w:val="hybridMultilevel"/>
    <w:tmpl w:val="4BEC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3C0"/>
    <w:multiLevelType w:val="multilevel"/>
    <w:tmpl w:val="BDA8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821A5"/>
    <w:multiLevelType w:val="hybridMultilevel"/>
    <w:tmpl w:val="C13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72C3"/>
    <w:multiLevelType w:val="hybridMultilevel"/>
    <w:tmpl w:val="055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1249"/>
    <w:multiLevelType w:val="hybridMultilevel"/>
    <w:tmpl w:val="4B8E0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C7473"/>
    <w:multiLevelType w:val="multilevel"/>
    <w:tmpl w:val="441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02FCD"/>
    <w:multiLevelType w:val="hybridMultilevel"/>
    <w:tmpl w:val="9C3A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40A20"/>
    <w:multiLevelType w:val="multilevel"/>
    <w:tmpl w:val="57E0B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D0AED"/>
    <w:multiLevelType w:val="hybridMultilevel"/>
    <w:tmpl w:val="A470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3"/>
  </w:num>
  <w:num w:numId="5">
    <w:abstractNumId w:val="2"/>
  </w:num>
  <w:num w:numId="6">
    <w:abstractNumId w:val="6"/>
  </w:num>
  <w:num w:numId="7">
    <w:abstractNumId w:val="10"/>
  </w:num>
  <w:num w:numId="8">
    <w:abstractNumId w:val="12"/>
  </w:num>
  <w:num w:numId="9">
    <w:abstractNumId w:val="9"/>
  </w:num>
  <w:num w:numId="10">
    <w:abstractNumId w:val="1"/>
  </w:num>
  <w:num w:numId="11">
    <w:abstractNumId w:val="3"/>
  </w:num>
  <w:num w:numId="12">
    <w:abstractNumId w:val="8"/>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5B"/>
    <w:rsid w:val="00095D35"/>
    <w:rsid w:val="00111548"/>
    <w:rsid w:val="00136250"/>
    <w:rsid w:val="00162F82"/>
    <w:rsid w:val="001C120D"/>
    <w:rsid w:val="00260392"/>
    <w:rsid w:val="002F3302"/>
    <w:rsid w:val="00392685"/>
    <w:rsid w:val="00432C8F"/>
    <w:rsid w:val="004A6363"/>
    <w:rsid w:val="004E2A5B"/>
    <w:rsid w:val="005765CA"/>
    <w:rsid w:val="0070575B"/>
    <w:rsid w:val="0087098D"/>
    <w:rsid w:val="00874319"/>
    <w:rsid w:val="008827FA"/>
    <w:rsid w:val="008A5CCE"/>
    <w:rsid w:val="00922922"/>
    <w:rsid w:val="0093156F"/>
    <w:rsid w:val="00972749"/>
    <w:rsid w:val="00A9192F"/>
    <w:rsid w:val="00B17ABB"/>
    <w:rsid w:val="00C60C97"/>
    <w:rsid w:val="00CA4EBF"/>
    <w:rsid w:val="00CB3446"/>
    <w:rsid w:val="00F3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1A15"/>
  <w15:chartTrackingRefBased/>
  <w15:docId w15:val="{9F98C255-C72C-48BB-B4AC-0D8C7A9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31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4E2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E2A5B"/>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4E2A5B"/>
    <w:pPr>
      <w:ind w:left="720"/>
      <w:contextualSpacing/>
    </w:pPr>
  </w:style>
  <w:style w:type="character" w:styleId="Pripombasklic">
    <w:name w:val="annotation reference"/>
    <w:basedOn w:val="Privzetapisavaodstavka"/>
    <w:uiPriority w:val="99"/>
    <w:semiHidden/>
    <w:unhideWhenUsed/>
    <w:rsid w:val="004E2A5B"/>
    <w:rPr>
      <w:sz w:val="16"/>
      <w:szCs w:val="16"/>
    </w:rPr>
  </w:style>
  <w:style w:type="paragraph" w:styleId="Pripombabesedilo">
    <w:name w:val="annotation text"/>
    <w:basedOn w:val="Navaden"/>
    <w:link w:val="PripombabesediloZnak"/>
    <w:uiPriority w:val="99"/>
    <w:semiHidden/>
    <w:unhideWhenUsed/>
    <w:rsid w:val="004E2A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2A5B"/>
    <w:rPr>
      <w:sz w:val="20"/>
      <w:szCs w:val="20"/>
    </w:rPr>
  </w:style>
  <w:style w:type="paragraph" w:styleId="Zadevapripombe">
    <w:name w:val="annotation subject"/>
    <w:basedOn w:val="Pripombabesedilo"/>
    <w:next w:val="Pripombabesedilo"/>
    <w:link w:val="ZadevapripombeZnak"/>
    <w:uiPriority w:val="99"/>
    <w:semiHidden/>
    <w:unhideWhenUsed/>
    <w:rsid w:val="004E2A5B"/>
    <w:rPr>
      <w:b/>
      <w:bCs/>
    </w:rPr>
  </w:style>
  <w:style w:type="character" w:customStyle="1" w:styleId="ZadevapripombeZnak">
    <w:name w:val="Zadeva pripombe Znak"/>
    <w:basedOn w:val="PripombabesediloZnak"/>
    <w:link w:val="Zadevapripombe"/>
    <w:uiPriority w:val="99"/>
    <w:semiHidden/>
    <w:rsid w:val="004E2A5B"/>
    <w:rPr>
      <w:b/>
      <w:bCs/>
      <w:sz w:val="20"/>
      <w:szCs w:val="20"/>
    </w:rPr>
  </w:style>
  <w:style w:type="table" w:styleId="Tabelamrea">
    <w:name w:val="Table Grid"/>
    <w:basedOn w:val="Navadnatabela"/>
    <w:uiPriority w:val="39"/>
    <w:rsid w:val="0092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93156F"/>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1C120D"/>
    <w:rPr>
      <w:color w:val="0563C1" w:themeColor="hyperlink"/>
      <w:u w:val="single"/>
    </w:rPr>
  </w:style>
  <w:style w:type="character" w:styleId="Nerazreenaomemba">
    <w:name w:val="Unresolved Mention"/>
    <w:basedOn w:val="Privzetapisavaodstavka"/>
    <w:uiPriority w:val="99"/>
    <w:semiHidden/>
    <w:unhideWhenUsed/>
    <w:rsid w:val="001C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6762">
      <w:bodyDiv w:val="1"/>
      <w:marLeft w:val="0"/>
      <w:marRight w:val="0"/>
      <w:marTop w:val="0"/>
      <w:marBottom w:val="0"/>
      <w:divBdr>
        <w:top w:val="none" w:sz="0" w:space="0" w:color="auto"/>
        <w:left w:val="none" w:sz="0" w:space="0" w:color="auto"/>
        <w:bottom w:val="none" w:sz="0" w:space="0" w:color="auto"/>
        <w:right w:val="none" w:sz="0" w:space="0" w:color="auto"/>
      </w:divBdr>
      <w:divsChild>
        <w:div w:id="941255276">
          <w:marLeft w:val="0"/>
          <w:marRight w:val="0"/>
          <w:marTop w:val="0"/>
          <w:marBottom w:val="0"/>
          <w:divBdr>
            <w:top w:val="none" w:sz="0" w:space="0" w:color="auto"/>
            <w:left w:val="none" w:sz="0" w:space="0" w:color="auto"/>
            <w:bottom w:val="none" w:sz="0" w:space="0" w:color="auto"/>
            <w:right w:val="none" w:sz="0" w:space="0" w:color="auto"/>
          </w:divBdr>
        </w:div>
        <w:div w:id="1604461616">
          <w:marLeft w:val="0"/>
          <w:marRight w:val="0"/>
          <w:marTop w:val="0"/>
          <w:marBottom w:val="0"/>
          <w:divBdr>
            <w:top w:val="none" w:sz="0" w:space="0" w:color="auto"/>
            <w:left w:val="none" w:sz="0" w:space="0" w:color="auto"/>
            <w:bottom w:val="none" w:sz="0" w:space="0" w:color="auto"/>
            <w:right w:val="none" w:sz="0" w:space="0" w:color="auto"/>
          </w:divBdr>
        </w:div>
        <w:div w:id="227769049">
          <w:marLeft w:val="0"/>
          <w:marRight w:val="0"/>
          <w:marTop w:val="0"/>
          <w:marBottom w:val="0"/>
          <w:divBdr>
            <w:top w:val="none" w:sz="0" w:space="0" w:color="auto"/>
            <w:left w:val="none" w:sz="0" w:space="0" w:color="auto"/>
            <w:bottom w:val="none" w:sz="0" w:space="0" w:color="auto"/>
            <w:right w:val="none" w:sz="0" w:space="0" w:color="auto"/>
          </w:divBdr>
          <w:divsChild>
            <w:div w:id="1363282709">
              <w:marLeft w:val="0"/>
              <w:marRight w:val="0"/>
              <w:marTop w:val="0"/>
              <w:marBottom w:val="0"/>
              <w:divBdr>
                <w:top w:val="none" w:sz="0" w:space="0" w:color="auto"/>
                <w:left w:val="none" w:sz="0" w:space="0" w:color="auto"/>
                <w:bottom w:val="none" w:sz="0" w:space="0" w:color="auto"/>
                <w:right w:val="none" w:sz="0" w:space="0" w:color="auto"/>
              </w:divBdr>
            </w:div>
            <w:div w:id="1533374642">
              <w:marLeft w:val="0"/>
              <w:marRight w:val="0"/>
              <w:marTop w:val="0"/>
              <w:marBottom w:val="0"/>
              <w:divBdr>
                <w:top w:val="none" w:sz="0" w:space="0" w:color="auto"/>
                <w:left w:val="none" w:sz="0" w:space="0" w:color="auto"/>
                <w:bottom w:val="none" w:sz="0" w:space="0" w:color="auto"/>
                <w:right w:val="none" w:sz="0" w:space="0" w:color="auto"/>
              </w:divBdr>
            </w:div>
          </w:divsChild>
        </w:div>
        <w:div w:id="183134851">
          <w:marLeft w:val="0"/>
          <w:marRight w:val="0"/>
          <w:marTop w:val="0"/>
          <w:marBottom w:val="0"/>
          <w:divBdr>
            <w:top w:val="none" w:sz="0" w:space="0" w:color="auto"/>
            <w:left w:val="none" w:sz="0" w:space="0" w:color="auto"/>
            <w:bottom w:val="none" w:sz="0" w:space="0" w:color="auto"/>
            <w:right w:val="none" w:sz="0" w:space="0" w:color="auto"/>
          </w:divBdr>
          <w:divsChild>
            <w:div w:id="1865635262">
              <w:marLeft w:val="0"/>
              <w:marRight w:val="0"/>
              <w:marTop w:val="0"/>
              <w:marBottom w:val="0"/>
              <w:divBdr>
                <w:top w:val="none" w:sz="0" w:space="0" w:color="auto"/>
                <w:left w:val="none" w:sz="0" w:space="0" w:color="auto"/>
                <w:bottom w:val="none" w:sz="0" w:space="0" w:color="auto"/>
                <w:right w:val="none" w:sz="0" w:space="0" w:color="auto"/>
              </w:divBdr>
            </w:div>
          </w:divsChild>
        </w:div>
        <w:div w:id="1239435205">
          <w:marLeft w:val="0"/>
          <w:marRight w:val="0"/>
          <w:marTop w:val="0"/>
          <w:marBottom w:val="0"/>
          <w:divBdr>
            <w:top w:val="none" w:sz="0" w:space="0" w:color="auto"/>
            <w:left w:val="none" w:sz="0" w:space="0" w:color="auto"/>
            <w:bottom w:val="none" w:sz="0" w:space="0" w:color="auto"/>
            <w:right w:val="none" w:sz="0" w:space="0" w:color="auto"/>
          </w:divBdr>
        </w:div>
        <w:div w:id="64993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ckoverflow.com/questions/60792080/how-to-parse-3-byte-length-ber-tlv-tag" TargetMode="External"/><Relationship Id="rId5" Type="http://schemas.openxmlformats.org/officeDocument/2006/relationships/hyperlink" Target="https://stackoverflow.com/questions/11297880/use-read-binary-to-read-more-than-256-by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1490</Words>
  <Characters>8499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Zdesar</dc:creator>
  <cp:keywords/>
  <dc:description/>
  <cp:lastModifiedBy>David Kovič</cp:lastModifiedBy>
  <cp:revision>7</cp:revision>
  <dcterms:created xsi:type="dcterms:W3CDTF">2021-04-19T16:53:00Z</dcterms:created>
  <dcterms:modified xsi:type="dcterms:W3CDTF">2021-07-16T09:13:00Z</dcterms:modified>
</cp:coreProperties>
</file>